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A9517">
      <w:pPr>
        <w:widowControl/>
        <w:spacing w:after="240"/>
        <w:jc w:val="left"/>
        <w:rPr>
          <w:rFonts w:ascii="Times New Roman" w:hAnsi="Times New Roman" w:eastAsia="Times New Roman" w:cs="Times New Roman"/>
          <w:kern w:val="0"/>
          <w:sz w:val="24"/>
        </w:rPr>
      </w:pPr>
      <w:bookmarkStart w:id="0" w:name="a000"/>
      <w:r>
        <w:rPr>
          <w:rFonts w:ascii="Times New Roman" w:hAnsi="Times New Roman" w:eastAsia="Times New Roman" w:cs="Times New Roman"/>
          <w:kern w:val="0"/>
          <w:sz w:val="24"/>
        </w:rPr>
        <w:t> </w:t>
      </w:r>
    </w:p>
    <w:p w14:paraId="58AA13BC">
      <w:pPr>
        <w:pStyle w:val="28"/>
        <w:widowControl/>
        <w:spacing w:before="240" w:after="240"/>
        <w:jc w:val="center"/>
        <w:rPr>
          <w:rFonts w:ascii="Times New Roman" w:hAnsi="Times New Roman" w:eastAsia="Times New Roman" w:cs="Times New Roman"/>
          <w:kern w:val="0"/>
          <w:sz w:val="24"/>
        </w:rPr>
      </w:pPr>
      <w:r>
        <w:rPr>
          <w:rFonts w:ascii="Calibri" w:hAnsi="Calibri" w:eastAsia="Calibri" w:cs="Calibri"/>
          <w:kern w:val="0"/>
          <w:sz w:val="84"/>
          <w:szCs w:val="84"/>
        </w:rPr>
        <w:t> </w:t>
      </w:r>
    </w:p>
    <w:p w14:paraId="75F325F5">
      <w:pPr>
        <w:pStyle w:val="28"/>
        <w:widowControl/>
        <w:spacing w:before="240" w:after="240"/>
        <w:jc w:val="center"/>
        <w:rPr>
          <w:rFonts w:ascii="Times New Roman" w:hAnsi="Times New Roman" w:eastAsia="Times New Roman" w:cs="Times New Roman"/>
          <w:kern w:val="0"/>
          <w:sz w:val="24"/>
        </w:rPr>
      </w:pPr>
      <w:r>
        <w:rPr>
          <w:rFonts w:ascii="Calibri" w:hAnsi="Calibri" w:eastAsia="Calibri" w:cs="Calibri"/>
          <w:kern w:val="0"/>
          <w:sz w:val="84"/>
          <w:szCs w:val="84"/>
        </w:rPr>
        <w:t> </w:t>
      </w:r>
    </w:p>
    <w:p w14:paraId="3E3D6CD5">
      <w:pPr>
        <w:pStyle w:val="28"/>
        <w:widowControl/>
        <w:spacing w:before="240" w:after="24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kern w:val="0"/>
          <w:sz w:val="84"/>
          <w:szCs w:val="84"/>
        </w:rPr>
        <w:t>2023年度</w:t>
      </w:r>
    </w:p>
    <w:p w14:paraId="2DBB38BC">
      <w:pPr>
        <w:pStyle w:val="28"/>
        <w:widowControl/>
        <w:spacing w:before="240" w:after="24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kern w:val="0"/>
          <w:sz w:val="84"/>
          <w:szCs w:val="84"/>
        </w:rPr>
        <w:t>福建省</w:t>
      </w:r>
      <w:r>
        <w:rPr>
          <w:rFonts w:hint="eastAsia" w:ascii="方正小标宋简体" w:hAnsi="方正小标宋简体" w:eastAsia="方正小标宋简体" w:cs="方正小标宋简体"/>
          <w:kern w:val="0"/>
          <w:sz w:val="84"/>
          <w:szCs w:val="84"/>
          <w:lang w:val="en-US" w:eastAsia="zh-CN"/>
        </w:rPr>
        <w:t>地质工程勘察院</w:t>
      </w:r>
      <w:r>
        <w:rPr>
          <w:rFonts w:ascii="方正小标宋简体" w:hAnsi="方正小标宋简体" w:eastAsia="方正小标宋简体" w:cs="方正小标宋简体"/>
          <w:kern w:val="0"/>
          <w:sz w:val="84"/>
          <w:szCs w:val="84"/>
        </w:rPr>
        <w:t>决算</w:t>
      </w:r>
    </w:p>
    <w:p w14:paraId="2EDA7B20">
      <w:pPr>
        <w:pStyle w:val="28"/>
        <w:widowControl/>
        <w:spacing w:before="240" w:after="240"/>
        <w:jc w:val="left"/>
        <w:rPr>
          <w:rFonts w:hint="eastAsia" w:ascii="Times New Roman" w:hAnsi="Times New Roman" w:eastAsia="宋体" w:cs="Times New Roman"/>
          <w:kern w:val="0"/>
          <w:sz w:val="24"/>
          <w:szCs w:val="24"/>
          <w:lang w:eastAsia="zh-CN"/>
        </w:rPr>
      </w:pPr>
    </w:p>
    <w:p w14:paraId="62CC99CA">
      <w:pPr>
        <w:pStyle w:val="28"/>
        <w:widowControl/>
        <w:spacing w:before="240" w:after="240"/>
        <w:jc w:val="left"/>
        <w:rPr>
          <w:rFonts w:hint="eastAsia" w:ascii="Times New Roman" w:hAnsi="Times New Roman" w:eastAsia="宋体" w:cs="Times New Roman"/>
          <w:kern w:val="0"/>
          <w:sz w:val="24"/>
          <w:szCs w:val="24"/>
          <w:lang w:eastAsia="zh-CN"/>
        </w:rPr>
      </w:pPr>
    </w:p>
    <w:p w14:paraId="331235A9">
      <w:pPr>
        <w:pStyle w:val="28"/>
        <w:widowControl/>
        <w:spacing w:before="240" w:after="240"/>
        <w:jc w:val="left"/>
        <w:rPr>
          <w:rFonts w:ascii="Times New Roman" w:hAnsi="Times New Roman" w:eastAsia="Times New Roman" w:cs="Times New Roman"/>
          <w:kern w:val="0"/>
          <w:sz w:val="24"/>
        </w:rPr>
      </w:pPr>
    </w:p>
    <w:p w14:paraId="31357F0E">
      <w:pPr>
        <w:pStyle w:val="28"/>
        <w:widowControl/>
        <w:spacing w:before="240" w:after="240"/>
        <w:jc w:val="left"/>
        <w:rPr>
          <w:rFonts w:ascii="Times New Roman" w:hAnsi="Times New Roman" w:eastAsia="Times New Roman" w:cs="Times New Roman"/>
          <w:kern w:val="0"/>
          <w:sz w:val="24"/>
        </w:rPr>
      </w:pPr>
    </w:p>
    <w:p w14:paraId="3A60C760">
      <w:pPr>
        <w:pStyle w:val="28"/>
        <w:widowControl/>
        <w:spacing w:before="240" w:after="240"/>
        <w:jc w:val="left"/>
        <w:rPr>
          <w:rFonts w:ascii="Times New Roman" w:hAnsi="Times New Roman" w:eastAsia="Times New Roman" w:cs="Times New Roman"/>
          <w:kern w:val="0"/>
          <w:sz w:val="24"/>
        </w:rPr>
      </w:pPr>
    </w:p>
    <w:p w14:paraId="4063A8CF">
      <w:pPr>
        <w:pStyle w:val="28"/>
        <w:widowControl/>
        <w:spacing w:before="240" w:after="240"/>
        <w:jc w:val="left"/>
        <w:rPr>
          <w:rFonts w:ascii="Times New Roman" w:hAnsi="Times New Roman" w:eastAsia="Times New Roman" w:cs="Times New Roman"/>
          <w:kern w:val="0"/>
          <w:sz w:val="24"/>
        </w:rPr>
      </w:pPr>
    </w:p>
    <w:p w14:paraId="76FC79EE">
      <w:pPr>
        <w:pStyle w:val="28"/>
        <w:widowControl/>
        <w:spacing w:before="240" w:after="240"/>
        <w:jc w:val="left"/>
        <w:rPr>
          <w:rFonts w:ascii="Times New Roman" w:hAnsi="Times New Roman" w:eastAsia="Times New Roman" w:cs="Times New Roman"/>
          <w:kern w:val="0"/>
          <w:sz w:val="24"/>
        </w:rPr>
      </w:pPr>
    </w:p>
    <w:p w14:paraId="526BD181">
      <w:pPr>
        <w:pStyle w:val="28"/>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466E3389">
      <w:pPr>
        <w:pStyle w:val="28"/>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2B4AAAA1">
      <w:pPr>
        <w:pStyle w:val="28"/>
        <w:widowControl/>
        <w:spacing w:before="240" w:after="240"/>
        <w:jc w:val="left"/>
        <w:rPr>
          <w:rFonts w:ascii="Times New Roman" w:hAnsi="Times New Roman" w:eastAsia="Times New Roman" w:cs="Times New Roman"/>
          <w:kern w:val="0"/>
          <w:sz w:val="24"/>
        </w:rPr>
      </w:pPr>
    </w:p>
    <w:p w14:paraId="0DC0FF1D">
      <w:pPr>
        <w:pStyle w:val="28"/>
        <w:widowControl/>
        <w:spacing w:before="240" w:after="240"/>
        <w:jc w:val="left"/>
        <w:rPr>
          <w:rFonts w:ascii="Times New Roman" w:hAnsi="Times New Roman" w:eastAsia="Times New Roman" w:cs="Times New Roman"/>
          <w:kern w:val="0"/>
          <w:sz w:val="24"/>
        </w:rPr>
      </w:pPr>
    </w:p>
    <w:p w14:paraId="1C0AB25D">
      <w:pPr>
        <w:pStyle w:val="28"/>
        <w:widowControl/>
        <w:spacing w:before="240" w:after="240"/>
        <w:jc w:val="center"/>
        <w:rPr>
          <w:rFonts w:ascii="仿宋" w:hAnsi="仿宋" w:eastAsia="仿宋" w:cs="仿宋"/>
          <w:b/>
          <w:bCs/>
          <w:kern w:val="0"/>
          <w:sz w:val="32"/>
          <w:szCs w:val="32"/>
        </w:rPr>
      </w:pPr>
    </w:p>
    <w:p w14:paraId="1E4BB1AE">
      <w:pPr>
        <w:pStyle w:val="28"/>
        <w:widowControl/>
        <w:spacing w:before="240" w:after="240"/>
        <w:jc w:val="center"/>
        <w:rPr>
          <w:rFonts w:ascii="仿宋" w:hAnsi="仿宋" w:eastAsia="仿宋" w:cs="仿宋"/>
          <w:b/>
          <w:bCs/>
          <w:kern w:val="0"/>
          <w:sz w:val="32"/>
          <w:szCs w:val="32"/>
        </w:rPr>
      </w:pPr>
    </w:p>
    <w:p w14:paraId="28030492">
      <w:pPr>
        <w:pStyle w:val="28"/>
        <w:widowControl/>
        <w:spacing w:before="240" w:after="240"/>
        <w:jc w:val="center"/>
        <w:rPr>
          <w:rFonts w:ascii="Times New Roman" w:hAnsi="Times New Roman" w:eastAsia="Times New Roman" w:cs="Times New Roman"/>
          <w:kern w:val="0"/>
          <w:sz w:val="24"/>
        </w:rPr>
      </w:pPr>
      <w:r>
        <w:rPr>
          <w:rFonts w:ascii="仿宋" w:hAnsi="仿宋" w:eastAsia="仿宋" w:cs="仿宋"/>
          <w:b/>
          <w:bCs/>
          <w:kern w:val="0"/>
          <w:sz w:val="32"/>
          <w:szCs w:val="32"/>
        </w:rPr>
        <w:t>目 录</w:t>
      </w:r>
    </w:p>
    <w:p w14:paraId="7A347A1C">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b/>
          <w:bCs/>
          <w:kern w:val="0"/>
          <w:sz w:val="32"/>
          <w:szCs w:val="32"/>
        </w:rPr>
        <w:t>第一部分 单位概况</w:t>
      </w:r>
      <w:r>
        <w:rPr>
          <w:rFonts w:ascii="仿宋" w:hAnsi="仿宋" w:eastAsia="仿宋" w:cs="仿宋"/>
          <w:kern w:val="0"/>
          <w:sz w:val="32"/>
          <w:szCs w:val="32"/>
        </w:rPr>
        <w:t>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w:t>
      </w:r>
    </w:p>
    <w:p w14:paraId="0E0A45A8">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kern w:val="0"/>
          <w:sz w:val="32"/>
          <w:szCs w:val="32"/>
        </w:rPr>
        <w:t>一、单位主要职责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w:t>
      </w:r>
    </w:p>
    <w:p w14:paraId="1BF91D7A">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kern w:val="0"/>
          <w:sz w:val="32"/>
          <w:szCs w:val="32"/>
        </w:rPr>
        <w:t>二、单位基本情况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w:t>
      </w:r>
    </w:p>
    <w:p w14:paraId="17A9FCB9">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kern w:val="0"/>
          <w:sz w:val="32"/>
          <w:szCs w:val="32"/>
        </w:rPr>
        <w:t>三、单位主要工作总结..............</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w:t>
      </w:r>
    </w:p>
    <w:p w14:paraId="2C9A6D87">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b/>
          <w:bCs/>
          <w:kern w:val="0"/>
          <w:sz w:val="32"/>
          <w:szCs w:val="32"/>
        </w:rPr>
        <w:t>第二部分 </w:t>
      </w:r>
      <w:r>
        <w:rPr>
          <w:rFonts w:ascii="仿宋" w:hAnsi="仿宋" w:eastAsia="仿宋" w:cs="仿宋"/>
          <w:kern w:val="0"/>
          <w:sz w:val="32"/>
          <w:szCs w:val="32"/>
        </w:rPr>
        <w:t>2023</w:t>
      </w:r>
      <w:r>
        <w:rPr>
          <w:rFonts w:ascii="仿宋" w:hAnsi="仿宋" w:eastAsia="仿宋" w:cs="仿宋"/>
          <w:b/>
          <w:bCs/>
          <w:kern w:val="0"/>
          <w:sz w:val="32"/>
          <w:szCs w:val="32"/>
        </w:rPr>
        <w:t>年度决算表</w:t>
      </w:r>
      <w:r>
        <w:rPr>
          <w:rFonts w:ascii="仿宋" w:hAnsi="仿宋" w:eastAsia="仿宋" w:cs="仿宋"/>
          <w:kern w:val="0"/>
          <w:sz w:val="32"/>
          <w:szCs w:val="32"/>
        </w:rPr>
        <w:t>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7</w:t>
      </w:r>
    </w:p>
    <w:p w14:paraId="214454E1">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kern w:val="0"/>
          <w:sz w:val="32"/>
          <w:szCs w:val="32"/>
        </w:rPr>
        <w:t>一、收入支出决算总表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8</w:t>
      </w:r>
    </w:p>
    <w:p w14:paraId="65924541">
      <w:pPr>
        <w:pStyle w:val="28"/>
        <w:widowControl/>
        <w:spacing w:before="240" w:after="240"/>
        <w:jc w:val="left"/>
        <w:rPr>
          <w:rFonts w:hint="eastAsia" w:ascii="Times New Roman" w:hAnsi="Times New Roman" w:eastAsia="仿宋" w:cs="Times New Roman"/>
          <w:kern w:val="0"/>
          <w:sz w:val="24"/>
          <w:lang w:val="en-US" w:eastAsia="zh-CN"/>
        </w:rPr>
      </w:pPr>
      <w:r>
        <w:rPr>
          <w:rFonts w:ascii="仿宋" w:hAnsi="仿宋" w:eastAsia="仿宋" w:cs="仿宋"/>
          <w:kern w:val="0"/>
          <w:sz w:val="32"/>
          <w:szCs w:val="32"/>
        </w:rPr>
        <w:t>二、收入决算表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9</w:t>
      </w:r>
    </w:p>
    <w:p w14:paraId="1137C220">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三、支出决算表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10</w:t>
      </w:r>
    </w:p>
    <w:p w14:paraId="2DDF99ED">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四、财政拨款收入支出决算总表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11</w:t>
      </w:r>
    </w:p>
    <w:p w14:paraId="6D37F169">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五、一般公共预算财政拨款支出决算表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12</w:t>
      </w:r>
    </w:p>
    <w:p w14:paraId="61B6853C">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六、一般公共预算财政拨款基本支出决算表.............</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13</w:t>
      </w:r>
    </w:p>
    <w:p w14:paraId="4ADBD705">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七、一般公共预算财政拨款“三公”经费支出决算表....</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14</w:t>
      </w:r>
    </w:p>
    <w:p w14:paraId="7D077D28">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八、政府性基金预算财政拨款收入支出决算表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15</w:t>
      </w:r>
    </w:p>
    <w:p w14:paraId="6C60A76B">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九、国有资本经营预算财政拨款支出决算表..........</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16</w:t>
      </w:r>
    </w:p>
    <w:p w14:paraId="4DE12D2A">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b/>
          <w:bCs/>
          <w:kern w:val="0"/>
          <w:sz w:val="32"/>
          <w:szCs w:val="32"/>
        </w:rPr>
        <w:t>第三部分 </w:t>
      </w:r>
      <w:r>
        <w:rPr>
          <w:rFonts w:ascii="仿宋" w:hAnsi="仿宋" w:eastAsia="仿宋" w:cs="仿宋"/>
          <w:kern w:val="0"/>
          <w:sz w:val="32"/>
          <w:szCs w:val="32"/>
        </w:rPr>
        <w:t>2023</w:t>
      </w:r>
      <w:r>
        <w:rPr>
          <w:rFonts w:ascii="仿宋" w:hAnsi="仿宋" w:eastAsia="仿宋" w:cs="仿宋"/>
          <w:b/>
          <w:bCs/>
          <w:kern w:val="0"/>
          <w:sz w:val="32"/>
          <w:szCs w:val="32"/>
        </w:rPr>
        <w:t>年度决算情况说明</w:t>
      </w:r>
      <w:r>
        <w:rPr>
          <w:rFonts w:ascii="仿宋" w:hAnsi="仿宋" w:eastAsia="仿宋" w:cs="仿宋"/>
          <w:kern w:val="0"/>
          <w:sz w:val="32"/>
          <w:szCs w:val="32"/>
        </w:rPr>
        <w:t>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17</w:t>
      </w:r>
    </w:p>
    <w:p w14:paraId="2490AD44">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一、收入支出决算总体情况说明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18</w:t>
      </w:r>
    </w:p>
    <w:p w14:paraId="07339436">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二、财政拨款收入支出决算总体情况说明.............</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19</w:t>
      </w:r>
    </w:p>
    <w:p w14:paraId="6BDC9C92">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三、一般公共预算财政拨款支出决算情况说明.....</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19</w:t>
      </w:r>
    </w:p>
    <w:p w14:paraId="437DE253">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四、政府性基金预算财政拨款支出决算情况说明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20</w:t>
      </w:r>
    </w:p>
    <w:p w14:paraId="01BD7070">
      <w:pPr>
        <w:pStyle w:val="28"/>
        <w:widowControl/>
        <w:spacing w:before="240" w:after="240"/>
        <w:jc w:val="left"/>
        <w:rPr>
          <w:rFonts w:ascii="仿宋" w:hAnsi="仿宋" w:eastAsia="仿宋" w:cs="仿宋"/>
          <w:kern w:val="0"/>
          <w:sz w:val="32"/>
          <w:szCs w:val="32"/>
        </w:rPr>
        <w:sectPr>
          <w:pgMar w:top="1440" w:right="720" w:bottom="1440" w:left="720" w:header="720" w:footer="720" w:gutter="0"/>
          <w:cols w:space="720" w:num="1"/>
        </w:sectPr>
      </w:pPr>
    </w:p>
    <w:p w14:paraId="6F64A6D0">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五、国有资本经营预算财政拨款支出决算情况说明....</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20</w:t>
      </w:r>
    </w:p>
    <w:p w14:paraId="130DE3FA">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六、一般公共预算财政拨款基本支出决算情况说明...</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20</w:t>
      </w:r>
    </w:p>
    <w:p w14:paraId="081B6A63">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七、一般公共预算财政拨款“三公”经费支出决算情况说明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21</w:t>
      </w:r>
    </w:p>
    <w:p w14:paraId="45B1D4D2">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八、预算绩效情况说明...........................</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22</w:t>
      </w:r>
    </w:p>
    <w:p w14:paraId="5CDCEF97">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kern w:val="0"/>
          <w:sz w:val="32"/>
          <w:szCs w:val="32"/>
        </w:rPr>
        <w:t>九、其他重要事项情况说明....................</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22</w:t>
      </w:r>
    </w:p>
    <w:p w14:paraId="54B11803">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b/>
          <w:bCs/>
          <w:kern w:val="0"/>
          <w:sz w:val="32"/>
          <w:szCs w:val="32"/>
        </w:rPr>
        <w:t>第四部分 名词解释</w:t>
      </w:r>
      <w:r>
        <w:rPr>
          <w:rFonts w:ascii="仿宋" w:hAnsi="仿宋" w:eastAsia="仿宋" w:cs="仿宋"/>
          <w:kern w:val="0"/>
          <w:sz w:val="32"/>
          <w:szCs w:val="32"/>
        </w:rPr>
        <w:t> ..........................</w:t>
      </w:r>
      <w:r>
        <w:rPr>
          <w:rFonts w:hint="eastAsia" w:ascii="仿宋" w:hAnsi="仿宋" w:eastAsia="仿宋" w:cs="仿宋"/>
          <w:kern w:val="0"/>
          <w:sz w:val="32"/>
          <w:szCs w:val="32"/>
          <w:lang w:val="en-US" w:eastAsia="zh-CN"/>
        </w:rPr>
        <w:t>..............</w:t>
      </w:r>
      <w:bookmarkStart w:id="1" w:name="_GoBack"/>
      <w:bookmarkEnd w:id="1"/>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24</w:t>
      </w:r>
    </w:p>
    <w:p w14:paraId="3B0AA5C5">
      <w:pPr>
        <w:pStyle w:val="28"/>
        <w:widowControl/>
        <w:spacing w:before="240" w:after="240"/>
        <w:jc w:val="left"/>
        <w:rPr>
          <w:rFonts w:hint="default" w:ascii="Times New Roman" w:hAnsi="Times New Roman" w:eastAsia="仿宋" w:cs="Times New Roman"/>
          <w:kern w:val="0"/>
          <w:sz w:val="24"/>
          <w:lang w:val="en-US" w:eastAsia="zh-CN"/>
        </w:rPr>
      </w:pPr>
      <w:r>
        <w:rPr>
          <w:rFonts w:ascii="仿宋" w:hAnsi="仿宋" w:eastAsia="仿宋" w:cs="仿宋"/>
          <w:b/>
          <w:bCs/>
          <w:kern w:val="0"/>
          <w:sz w:val="32"/>
          <w:szCs w:val="32"/>
        </w:rPr>
        <w:t>第五部分 附件</w:t>
      </w:r>
      <w:r>
        <w:rPr>
          <w:rFonts w:ascii="仿宋" w:hAnsi="仿宋" w:eastAsia="仿宋" w:cs="仿宋"/>
          <w:kern w:val="0"/>
          <w:sz w:val="32"/>
          <w:szCs w:val="32"/>
        </w:rPr>
        <w:t> ......................</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w:t>
      </w:r>
      <w:r>
        <w:rPr>
          <w:rFonts w:ascii="仿宋" w:hAnsi="仿宋" w:eastAsia="仿宋" w:cs="仿宋"/>
          <w:kern w:val="0"/>
          <w:sz w:val="32"/>
          <w:szCs w:val="32"/>
        </w:rPr>
        <w:t>........</w:t>
      </w:r>
      <w:r>
        <w:rPr>
          <w:rFonts w:hint="eastAsia" w:ascii="仿宋" w:hAnsi="仿宋" w:eastAsia="仿宋" w:cs="仿宋"/>
          <w:kern w:val="0"/>
          <w:sz w:val="32"/>
          <w:szCs w:val="32"/>
          <w:lang w:val="en-US" w:eastAsia="zh-CN"/>
        </w:rPr>
        <w:t>27</w:t>
      </w:r>
    </w:p>
    <w:p w14:paraId="22111328">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460D51CD">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2B3AF63F">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12A353CA">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08840938">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1BDAA57E">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37D401FE">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75332FD9">
      <w:pPr>
        <w:pStyle w:val="28"/>
        <w:widowControl/>
        <w:spacing w:before="240" w:after="240"/>
        <w:jc w:val="left"/>
        <w:rPr>
          <w:rFonts w:ascii="Times New Roman" w:hAnsi="Times New Roman" w:eastAsia="Times New Roman" w:cs="Times New Roman"/>
          <w:kern w:val="0"/>
          <w:sz w:val="24"/>
        </w:rPr>
      </w:pPr>
      <w:r>
        <w:rPr>
          <w:rFonts w:ascii="仿宋" w:hAnsi="仿宋" w:eastAsia="仿宋" w:cs="仿宋"/>
          <w:kern w:val="0"/>
          <w:sz w:val="32"/>
          <w:szCs w:val="32"/>
        </w:rPr>
        <w:t> </w:t>
      </w:r>
    </w:p>
    <w:p w14:paraId="05ACF4AE">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0B8D596F">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2F2E4ECA">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37EB00F0">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19C5D146">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2D12C14B">
      <w:pPr>
        <w:pStyle w:val="29"/>
        <w:widowControl/>
        <w:spacing w:before="240" w:after="240"/>
        <w:jc w:val="center"/>
        <w:rPr>
          <w:rFonts w:ascii="黑体" w:hAnsi="黑体" w:eastAsia="黑体" w:cs="黑体"/>
          <w:kern w:val="0"/>
          <w:sz w:val="36"/>
          <w:szCs w:val="36"/>
        </w:rPr>
        <w:sectPr>
          <w:footerReference r:id="rId3" w:type="default"/>
          <w:pgMar w:top="1440" w:right="720" w:bottom="1440" w:left="720" w:header="720" w:footer="720" w:gutter="0"/>
          <w:pgNumType w:fmt="decimal" w:start="1"/>
          <w:cols w:space="720" w:num="1"/>
        </w:sectPr>
      </w:pPr>
    </w:p>
    <w:p w14:paraId="2FD72B4A">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68FB92C1">
      <w:pPr>
        <w:pStyle w:val="29"/>
        <w:widowControl/>
        <w:spacing w:before="240" w:after="240"/>
        <w:jc w:val="left"/>
        <w:rPr>
          <w:rFonts w:ascii="黑体" w:hAnsi="黑体" w:eastAsia="黑体" w:cs="黑体"/>
          <w:kern w:val="0"/>
          <w:sz w:val="56"/>
          <w:szCs w:val="56"/>
        </w:rPr>
      </w:pPr>
    </w:p>
    <w:p w14:paraId="4AF020ED">
      <w:pPr>
        <w:pStyle w:val="29"/>
        <w:widowControl/>
        <w:spacing w:before="240" w:after="240"/>
        <w:jc w:val="left"/>
        <w:rPr>
          <w:rFonts w:ascii="黑体" w:hAnsi="黑体" w:eastAsia="黑体" w:cs="黑体"/>
          <w:kern w:val="0"/>
          <w:sz w:val="56"/>
          <w:szCs w:val="56"/>
        </w:rPr>
      </w:pPr>
    </w:p>
    <w:p w14:paraId="030BB10B">
      <w:pPr>
        <w:pStyle w:val="29"/>
        <w:widowControl/>
        <w:spacing w:before="240" w:after="240"/>
        <w:jc w:val="left"/>
        <w:rPr>
          <w:rFonts w:ascii="黑体" w:hAnsi="黑体" w:eastAsia="黑体" w:cs="黑体"/>
          <w:kern w:val="0"/>
          <w:sz w:val="56"/>
          <w:szCs w:val="56"/>
        </w:rPr>
      </w:pPr>
    </w:p>
    <w:p w14:paraId="39D11BE9">
      <w:pPr>
        <w:pStyle w:val="29"/>
        <w:widowControl/>
        <w:spacing w:before="240" w:after="240"/>
        <w:jc w:val="left"/>
        <w:rPr>
          <w:rFonts w:ascii="黑体" w:hAnsi="黑体" w:eastAsia="黑体" w:cs="黑体"/>
          <w:kern w:val="0"/>
          <w:sz w:val="56"/>
          <w:szCs w:val="56"/>
        </w:rPr>
      </w:pPr>
    </w:p>
    <w:p w14:paraId="76FBFF51">
      <w:pPr>
        <w:pStyle w:val="29"/>
        <w:widowControl/>
        <w:spacing w:before="240" w:after="240"/>
        <w:jc w:val="center"/>
        <w:rPr>
          <w:rFonts w:ascii="黑体" w:hAnsi="黑体" w:eastAsia="黑体" w:cs="黑体"/>
          <w:kern w:val="0"/>
          <w:sz w:val="56"/>
          <w:szCs w:val="56"/>
        </w:rPr>
      </w:pPr>
    </w:p>
    <w:p w14:paraId="645F1DA2">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第一部分</w:t>
      </w:r>
    </w:p>
    <w:p w14:paraId="60B5B594">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单位概况</w:t>
      </w:r>
    </w:p>
    <w:p w14:paraId="2348CFB9">
      <w:pPr>
        <w:pStyle w:val="28"/>
        <w:widowControl/>
        <w:spacing w:before="240" w:after="240"/>
        <w:jc w:val="left"/>
        <w:rPr>
          <w:rFonts w:ascii="黑体" w:hAnsi="黑体" w:eastAsia="黑体" w:cs="黑体"/>
          <w:kern w:val="0"/>
          <w:sz w:val="32"/>
          <w:szCs w:val="32"/>
        </w:rPr>
      </w:pPr>
    </w:p>
    <w:p w14:paraId="03315555">
      <w:pPr>
        <w:pStyle w:val="28"/>
        <w:widowControl/>
        <w:spacing w:before="240" w:after="240"/>
        <w:jc w:val="left"/>
        <w:rPr>
          <w:rFonts w:ascii="黑体" w:hAnsi="黑体" w:eastAsia="黑体" w:cs="黑体"/>
          <w:kern w:val="0"/>
          <w:sz w:val="32"/>
          <w:szCs w:val="32"/>
        </w:rPr>
      </w:pPr>
    </w:p>
    <w:p w14:paraId="3CDCB801">
      <w:pPr>
        <w:pStyle w:val="28"/>
        <w:widowControl/>
        <w:spacing w:before="240" w:after="240"/>
        <w:jc w:val="left"/>
        <w:rPr>
          <w:rFonts w:ascii="黑体" w:hAnsi="黑体" w:eastAsia="黑体" w:cs="黑体"/>
          <w:kern w:val="0"/>
          <w:sz w:val="32"/>
          <w:szCs w:val="32"/>
        </w:rPr>
      </w:pPr>
    </w:p>
    <w:p w14:paraId="728F4DDF">
      <w:pPr>
        <w:pStyle w:val="28"/>
        <w:widowControl/>
        <w:spacing w:before="240" w:after="240"/>
        <w:jc w:val="left"/>
        <w:rPr>
          <w:rFonts w:ascii="黑体" w:hAnsi="黑体" w:eastAsia="黑体" w:cs="黑体"/>
          <w:kern w:val="0"/>
          <w:sz w:val="32"/>
          <w:szCs w:val="32"/>
        </w:rPr>
      </w:pPr>
    </w:p>
    <w:p w14:paraId="0AF85FF7">
      <w:pPr>
        <w:pStyle w:val="28"/>
        <w:widowControl/>
        <w:spacing w:before="240" w:after="240"/>
        <w:jc w:val="left"/>
        <w:rPr>
          <w:rFonts w:ascii="黑体" w:hAnsi="黑体" w:eastAsia="黑体" w:cs="黑体"/>
          <w:kern w:val="0"/>
          <w:sz w:val="32"/>
          <w:szCs w:val="32"/>
        </w:rPr>
      </w:pPr>
    </w:p>
    <w:p w14:paraId="405B0170">
      <w:pPr>
        <w:pStyle w:val="28"/>
        <w:widowControl/>
        <w:spacing w:before="240" w:after="240"/>
        <w:jc w:val="left"/>
        <w:rPr>
          <w:rFonts w:ascii="黑体" w:hAnsi="黑体" w:eastAsia="黑体" w:cs="黑体"/>
          <w:kern w:val="0"/>
          <w:sz w:val="32"/>
          <w:szCs w:val="32"/>
        </w:rPr>
      </w:pPr>
    </w:p>
    <w:p w14:paraId="463547F2">
      <w:pPr>
        <w:pStyle w:val="28"/>
        <w:widowControl/>
        <w:spacing w:before="240" w:after="240"/>
        <w:jc w:val="left"/>
        <w:rPr>
          <w:rFonts w:ascii="黑体" w:hAnsi="黑体" w:eastAsia="黑体" w:cs="黑体"/>
          <w:kern w:val="0"/>
          <w:sz w:val="32"/>
          <w:szCs w:val="32"/>
        </w:rPr>
      </w:pPr>
    </w:p>
    <w:p w14:paraId="1D436F37">
      <w:pPr>
        <w:pStyle w:val="28"/>
        <w:widowControl/>
        <w:spacing w:before="240" w:after="240"/>
        <w:jc w:val="left"/>
        <w:rPr>
          <w:rFonts w:ascii="黑体" w:hAnsi="黑体" w:eastAsia="黑体" w:cs="黑体"/>
          <w:kern w:val="0"/>
          <w:sz w:val="32"/>
          <w:szCs w:val="32"/>
        </w:rPr>
      </w:pPr>
    </w:p>
    <w:p w14:paraId="401EB893">
      <w:pPr>
        <w:pStyle w:val="28"/>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32"/>
          <w:szCs w:val="32"/>
        </w:rPr>
        <w:t>一、单位主要职责</w:t>
      </w:r>
    </w:p>
    <w:p w14:paraId="77D223D8">
      <w:pPr>
        <w:pStyle w:val="28"/>
        <w:widowControl/>
        <w:spacing w:before="240" w:after="240" w:line="600" w:lineRule="atLeast"/>
        <w:ind w:firstLine="640"/>
        <w:jc w:val="left"/>
        <w:rPr>
          <w:rFonts w:ascii="仿宋" w:hAnsi="仿宋" w:eastAsia="仿宋" w:cs="仿宋"/>
          <w:kern w:val="0"/>
          <w:sz w:val="32"/>
          <w:szCs w:val="32"/>
        </w:rPr>
      </w:pPr>
      <w:r>
        <w:rPr>
          <w:rFonts w:hint="eastAsia" w:ascii="仿宋" w:hAnsi="仿宋" w:eastAsia="仿宋" w:cs="仿宋"/>
          <w:kern w:val="0"/>
          <w:sz w:val="32"/>
          <w:szCs w:val="32"/>
        </w:rPr>
        <w:t>福建省地质工程勘察院</w:t>
      </w:r>
      <w:r>
        <w:rPr>
          <w:rFonts w:ascii="仿宋" w:hAnsi="仿宋" w:eastAsia="仿宋" w:cs="仿宋"/>
          <w:kern w:val="0"/>
          <w:sz w:val="32"/>
          <w:szCs w:val="32"/>
        </w:rPr>
        <w:t>的主要职责是：</w:t>
      </w:r>
    </w:p>
    <w:p w14:paraId="3A06E4AA">
      <w:pPr>
        <w:pStyle w:val="28"/>
        <w:widowControl/>
        <w:spacing w:before="240" w:after="240" w:line="600" w:lineRule="atLeast"/>
        <w:ind w:firstLine="640"/>
        <w:jc w:val="left"/>
        <w:rPr>
          <w:rFonts w:ascii="仿宋" w:hAnsi="仿宋" w:eastAsia="仿宋" w:cs="仿宋"/>
          <w:kern w:val="0"/>
          <w:sz w:val="32"/>
          <w:szCs w:val="32"/>
        </w:rPr>
      </w:pPr>
      <w:r>
        <w:rPr>
          <w:rFonts w:hint="eastAsia" w:ascii="仿宋" w:hAnsi="仿宋" w:eastAsia="仿宋" w:cs="仿宋"/>
          <w:kern w:val="0"/>
          <w:sz w:val="32"/>
          <w:szCs w:val="32"/>
        </w:rPr>
        <w:t>（一）按照国家相关法律法规和我省有关规定，承担我省（不含厦门地区）水文、工程、环境地质勘查、地质灾害评估、设计、治理及监理，工程测量，岩土和水质测试等工作。</w:t>
      </w:r>
    </w:p>
    <w:p w14:paraId="18D08EEE">
      <w:pPr>
        <w:pStyle w:val="28"/>
        <w:widowControl/>
        <w:spacing w:before="240" w:after="240" w:line="600" w:lineRule="atLeast"/>
        <w:ind w:firstLine="640"/>
        <w:jc w:val="left"/>
        <w:rPr>
          <w:rFonts w:ascii="Times New Roman" w:hAnsi="Times New Roman" w:eastAsia="Times New Roman" w:cs="Times New Roman"/>
          <w:kern w:val="0"/>
          <w:sz w:val="24"/>
        </w:rPr>
      </w:pPr>
      <w:r>
        <w:rPr>
          <w:rFonts w:hint="eastAsia" w:ascii="仿宋" w:hAnsi="仿宋" w:eastAsia="仿宋" w:cs="仿宋"/>
          <w:kern w:val="0"/>
          <w:sz w:val="32"/>
          <w:szCs w:val="32"/>
        </w:rPr>
        <w:t>（二）承担地矿局交办的其他任务。</w:t>
      </w:r>
    </w:p>
    <w:p w14:paraId="24AA9479">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二、单位基本情况</w:t>
      </w:r>
    </w:p>
    <w:p w14:paraId="50032FFF">
      <w:pPr>
        <w:pStyle w:val="28"/>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kern w:val="0"/>
          <w:sz w:val="32"/>
          <w:szCs w:val="32"/>
        </w:rPr>
        <w:t>从决算单位构成看，本单位包括</w:t>
      </w:r>
      <w:r>
        <w:rPr>
          <w:rFonts w:hint="eastAsia" w:ascii="仿宋" w:hAnsi="仿宋" w:eastAsia="仿宋" w:cs="仿宋"/>
          <w:sz w:val="32"/>
          <w:szCs w:val="32"/>
        </w:rPr>
        <w:t>8个机关管理科室</w:t>
      </w:r>
      <w:r>
        <w:rPr>
          <w:rFonts w:ascii="仿宋" w:hAnsi="仿宋" w:eastAsia="仿宋" w:cs="仿宋"/>
          <w:kern w:val="0"/>
          <w:sz w:val="32"/>
          <w:szCs w:val="32"/>
        </w:rPr>
        <w:t>，其中：列入2023年决算编制范围的单位详细情况见下表:</w:t>
      </w:r>
    </w:p>
    <w:tbl>
      <w:tblPr>
        <w:tblStyle w:val="30"/>
        <w:tblW w:w="0" w:type="auto"/>
        <w:jc w:val="center"/>
        <w:tblCellSpacing w:w="0" w:type="dxa"/>
        <w:tblLayout w:type="fixed"/>
        <w:tblCellMar>
          <w:top w:w="15" w:type="dxa"/>
          <w:left w:w="15" w:type="dxa"/>
          <w:bottom w:w="15" w:type="dxa"/>
          <w:right w:w="15" w:type="dxa"/>
        </w:tblCellMar>
      </w:tblPr>
      <w:tblGrid>
        <w:gridCol w:w="3478"/>
        <w:gridCol w:w="2436"/>
        <w:gridCol w:w="1943"/>
      </w:tblGrid>
      <w:tr w14:paraId="5F07C525">
        <w:tblPrEx>
          <w:tblCellMar>
            <w:top w:w="15" w:type="dxa"/>
            <w:left w:w="15" w:type="dxa"/>
            <w:bottom w:w="15" w:type="dxa"/>
            <w:right w:w="15" w:type="dxa"/>
          </w:tblCellMar>
        </w:tblPrEx>
        <w:trPr>
          <w:trHeight w:val="664" w:hRule="atLeast"/>
          <w:tblHeader/>
          <w:tblCellSpacing w:w="0" w:type="dxa"/>
          <w:jc w:val="center"/>
        </w:trPr>
        <w:tc>
          <w:tcPr>
            <w:tcW w:w="3478" w:type="dxa"/>
            <w:tcBorders>
              <w:top w:val="single" w:color="000000" w:sz="8" w:space="0"/>
              <w:left w:val="single" w:color="000000" w:sz="8" w:space="0"/>
              <w:bottom w:val="single" w:color="000000" w:sz="8" w:space="0"/>
              <w:right w:val="single" w:color="000000" w:sz="8" w:space="0"/>
            </w:tcBorders>
            <w:noWrap w:val="0"/>
            <w:tcMar>
              <w:top w:w="10" w:type="dxa"/>
              <w:left w:w="118" w:type="dxa"/>
              <w:bottom w:w="10" w:type="dxa"/>
              <w:right w:w="118" w:type="dxa"/>
            </w:tcMar>
            <w:vAlign w:val="center"/>
          </w:tcPr>
          <w:p w14:paraId="48367131">
            <w:pPr>
              <w:pStyle w:val="28"/>
              <w:widowControl/>
              <w:spacing w:line="600" w:lineRule="atLeast"/>
              <w:jc w:val="center"/>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单位名称</w:t>
            </w:r>
          </w:p>
        </w:tc>
        <w:tc>
          <w:tcPr>
            <w:tcW w:w="2436"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3BD85593">
            <w:pPr>
              <w:pStyle w:val="28"/>
              <w:widowControl/>
              <w:spacing w:line="600" w:lineRule="atLeast"/>
              <w:jc w:val="center"/>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单位性质</w:t>
            </w:r>
          </w:p>
        </w:tc>
        <w:tc>
          <w:tcPr>
            <w:tcW w:w="1943"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2364366B">
            <w:pPr>
              <w:pStyle w:val="28"/>
              <w:widowControl/>
              <w:spacing w:line="600" w:lineRule="atLeast"/>
              <w:jc w:val="center"/>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在职人数</w:t>
            </w:r>
          </w:p>
        </w:tc>
      </w:tr>
      <w:tr w14:paraId="27F90FC6">
        <w:tblPrEx>
          <w:tblCellMar>
            <w:top w:w="15" w:type="dxa"/>
            <w:left w:w="15" w:type="dxa"/>
            <w:bottom w:w="15" w:type="dxa"/>
            <w:right w:w="15" w:type="dxa"/>
          </w:tblCellMar>
        </w:tblPrEx>
        <w:trPr>
          <w:tblCellSpacing w:w="0" w:type="dxa"/>
          <w:jc w:val="center"/>
        </w:trPr>
        <w:tc>
          <w:tcPr>
            <w:tcW w:w="3478" w:type="dxa"/>
            <w:tcBorders>
              <w:left w:val="single" w:color="000000" w:sz="8" w:space="0"/>
              <w:bottom w:val="single" w:color="000000" w:sz="8" w:space="0"/>
              <w:right w:val="single" w:color="000000" w:sz="8" w:space="0"/>
            </w:tcBorders>
            <w:shd w:val="clear" w:color="auto" w:fill="auto"/>
            <w:noWrap w:val="0"/>
            <w:tcMar>
              <w:top w:w="0" w:type="dxa"/>
              <w:left w:w="118" w:type="dxa"/>
              <w:bottom w:w="10" w:type="dxa"/>
              <w:right w:w="118" w:type="dxa"/>
            </w:tcMar>
            <w:vAlign w:val="center"/>
          </w:tcPr>
          <w:p w14:paraId="7DC2F96C">
            <w:pPr>
              <w:spacing w:before="174" w:line="578" w:lineRule="exact"/>
              <w:jc w:val="center"/>
              <w:rPr>
                <w:rFonts w:ascii="仿宋" w:hAnsi="仿宋" w:eastAsia="仿宋" w:cs="仿宋"/>
                <w:bCs/>
                <w:snapToGrid/>
                <w:kern w:val="2"/>
                <w:sz w:val="32"/>
                <w:szCs w:val="32"/>
                <w:lang w:val="en-US" w:eastAsia="zh-CN" w:bidi="ar-SA"/>
              </w:rPr>
            </w:pPr>
            <w:r>
              <w:rPr>
                <w:rFonts w:hint="eastAsia" w:ascii="仿宋" w:hAnsi="仿宋" w:eastAsia="仿宋" w:cs="仿宋"/>
                <w:bCs/>
                <w:snapToGrid/>
                <w:sz w:val="32"/>
                <w:szCs w:val="32"/>
              </w:rPr>
              <w:t>福建省地质工程勘察院</w:t>
            </w:r>
          </w:p>
        </w:tc>
        <w:tc>
          <w:tcPr>
            <w:tcW w:w="2436" w:type="dxa"/>
            <w:tcBorders>
              <w:bottom w:val="single" w:color="000000" w:sz="8" w:space="0"/>
              <w:right w:val="single" w:color="000000" w:sz="8" w:space="0"/>
            </w:tcBorders>
            <w:shd w:val="clear" w:color="auto" w:fill="auto"/>
            <w:noWrap w:val="0"/>
            <w:tcMar>
              <w:top w:w="0" w:type="dxa"/>
              <w:left w:w="108" w:type="dxa"/>
              <w:bottom w:w="10" w:type="dxa"/>
              <w:right w:w="118" w:type="dxa"/>
            </w:tcMar>
            <w:vAlign w:val="center"/>
          </w:tcPr>
          <w:p w14:paraId="7015F2BC">
            <w:pPr>
              <w:spacing w:before="174" w:line="578" w:lineRule="exact"/>
              <w:jc w:val="center"/>
              <w:rPr>
                <w:rFonts w:ascii="仿宋" w:hAnsi="仿宋" w:eastAsia="仿宋" w:cs="仿宋"/>
                <w:bCs/>
                <w:snapToGrid/>
                <w:kern w:val="2"/>
                <w:sz w:val="32"/>
                <w:szCs w:val="32"/>
                <w:lang w:val="en-US" w:eastAsia="zh-CN" w:bidi="ar-SA"/>
              </w:rPr>
            </w:pPr>
            <w:r>
              <w:rPr>
                <w:rFonts w:hint="eastAsia" w:ascii="仿宋" w:hAnsi="仿宋" w:eastAsia="仿宋" w:cs="仿宋"/>
                <w:bCs/>
                <w:snapToGrid/>
                <w:sz w:val="32"/>
                <w:szCs w:val="32"/>
              </w:rPr>
              <w:t>财政核补</w:t>
            </w:r>
          </w:p>
        </w:tc>
        <w:tc>
          <w:tcPr>
            <w:tcW w:w="1943" w:type="dxa"/>
            <w:tcBorders>
              <w:bottom w:val="single" w:color="000000" w:sz="8" w:space="0"/>
              <w:right w:val="single" w:color="000000" w:sz="8" w:space="0"/>
            </w:tcBorders>
            <w:shd w:val="clear" w:color="auto" w:fill="auto"/>
            <w:noWrap w:val="0"/>
            <w:tcMar>
              <w:top w:w="0" w:type="dxa"/>
              <w:left w:w="108" w:type="dxa"/>
              <w:bottom w:w="10" w:type="dxa"/>
              <w:right w:w="118" w:type="dxa"/>
            </w:tcMar>
            <w:vAlign w:val="center"/>
          </w:tcPr>
          <w:p w14:paraId="5A42FDF2">
            <w:pPr>
              <w:spacing w:before="221" w:line="578" w:lineRule="exact"/>
              <w:jc w:val="center"/>
              <w:rPr>
                <w:rFonts w:ascii="仿宋" w:hAnsi="仿宋" w:eastAsia="仿宋" w:cs="仿宋"/>
                <w:bCs/>
                <w:snapToGrid/>
                <w:kern w:val="2"/>
                <w:sz w:val="32"/>
                <w:szCs w:val="32"/>
                <w:lang w:val="en-US" w:eastAsia="zh-CN" w:bidi="ar-SA"/>
              </w:rPr>
            </w:pPr>
            <w:r>
              <w:rPr>
                <w:rFonts w:hint="eastAsia" w:ascii="仿宋" w:hAnsi="仿宋" w:eastAsia="仿宋" w:cs="仿宋"/>
                <w:bCs/>
                <w:snapToGrid/>
                <w:color w:val="auto"/>
                <w:sz w:val="32"/>
                <w:szCs w:val="32"/>
              </w:rPr>
              <w:t>208</w:t>
            </w:r>
          </w:p>
        </w:tc>
      </w:tr>
    </w:tbl>
    <w:p w14:paraId="09F8650C">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三、单位主要工作总结</w:t>
      </w:r>
    </w:p>
    <w:p w14:paraId="6BC6FC53">
      <w:pPr>
        <w:pStyle w:val="28"/>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kern w:val="0"/>
          <w:sz w:val="32"/>
          <w:szCs w:val="32"/>
        </w:rPr>
        <w:t>2023年，</w:t>
      </w:r>
      <w:r>
        <w:rPr>
          <w:rFonts w:hint="eastAsia" w:ascii="仿宋" w:hAnsi="仿宋" w:eastAsia="仿宋" w:cs="仿宋"/>
          <w:kern w:val="0"/>
          <w:sz w:val="32"/>
          <w:szCs w:val="32"/>
        </w:rPr>
        <w:t>福建省地质工程勘察院主要任务是：全面贯彻落实党的二十大</w:t>
      </w:r>
      <w:r>
        <w:rPr>
          <w:rFonts w:hint="eastAsia" w:ascii="仿宋" w:hAnsi="仿宋" w:eastAsia="仿宋" w:cs="仿宋"/>
          <w:kern w:val="0"/>
          <w:sz w:val="32"/>
          <w:szCs w:val="32"/>
          <w:lang w:val="en-US" w:eastAsia="zh-CN"/>
        </w:rPr>
        <w:t>及二十届二中全会</w:t>
      </w:r>
      <w:r>
        <w:rPr>
          <w:rFonts w:hint="eastAsia" w:ascii="仿宋" w:hAnsi="仿宋" w:eastAsia="仿宋" w:cs="仿宋"/>
          <w:kern w:val="0"/>
          <w:sz w:val="32"/>
          <w:szCs w:val="32"/>
        </w:rPr>
        <w:t>精神，聚焦省委、省政府工作部署，深入实施“十四五”规划</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谋划好明年乃至更长一段时期的各项工作</w:t>
      </w:r>
      <w:r>
        <w:rPr>
          <w:rFonts w:ascii="仿宋" w:hAnsi="仿宋" w:eastAsia="仿宋" w:cs="仿宋"/>
          <w:kern w:val="0"/>
          <w:sz w:val="32"/>
          <w:szCs w:val="32"/>
        </w:rPr>
        <w:t>。围绕上述任务，重点完成了以下工作：</w:t>
      </w:r>
    </w:p>
    <w:p w14:paraId="337A2AF3">
      <w:pPr>
        <w:pStyle w:val="28"/>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kern w:val="0"/>
          <w:sz w:val="32"/>
          <w:szCs w:val="32"/>
        </w:rPr>
        <w:t>（一）夯实建功主阵地。一是坚持抓好思想建设，持续强化政治理论武装水平。深入学习贯彻习近平新时代中国特色社会主义思想，跟进学习习近平总书记最新重要讲话精神，坚持贯彻落实主题教育要求，严格落实“第一议题”“首要内容”，依托院微信公众号，及时发布、转发时政要闻、理论热点和工作动态</w:t>
      </w:r>
      <w:r>
        <w:rPr>
          <w:rFonts w:hint="eastAsia" w:ascii="仿宋" w:hAnsi="仿宋" w:eastAsia="仿宋" w:cs="仿宋"/>
          <w:kern w:val="0"/>
          <w:sz w:val="32"/>
          <w:szCs w:val="32"/>
          <w:lang w:eastAsia="zh-CN"/>
        </w:rPr>
        <w:t>；</w:t>
      </w:r>
      <w:r>
        <w:rPr>
          <w:rFonts w:ascii="仿宋" w:hAnsi="仿宋" w:eastAsia="仿宋" w:cs="仿宋"/>
          <w:kern w:val="0"/>
          <w:sz w:val="32"/>
          <w:szCs w:val="32"/>
        </w:rPr>
        <w:t>二是坚持抓好组织建设，不断推动党建工作提质增效。积极部署实施“深学争优、敢为争先、实干争效”行动,认真落实“三会一课”制度，扎实开展党员培训。持续推进党支部共建，做到“优势互补、共同提高、共同发展”</w:t>
      </w:r>
      <w:r>
        <w:rPr>
          <w:rFonts w:hint="eastAsia" w:ascii="仿宋" w:hAnsi="仿宋" w:eastAsia="仿宋" w:cs="仿宋"/>
          <w:kern w:val="0"/>
          <w:sz w:val="32"/>
          <w:szCs w:val="32"/>
          <w:lang w:eastAsia="zh-CN"/>
        </w:rPr>
        <w:t>；</w:t>
      </w:r>
      <w:r>
        <w:rPr>
          <w:rFonts w:ascii="仿宋" w:hAnsi="仿宋" w:eastAsia="仿宋" w:cs="仿宋"/>
          <w:kern w:val="0"/>
          <w:sz w:val="32"/>
          <w:szCs w:val="32"/>
        </w:rPr>
        <w:t>三是坚持抓好队伍建设，凝心聚力唱响文明实践乐章。注重干部的培养选拔，注重履行公益职能，年内共举办（参与）科普活动8场，专业技术培训8场，科普对象超过419万人次</w:t>
      </w:r>
      <w:r>
        <w:rPr>
          <w:rFonts w:hint="eastAsia" w:ascii="仿宋" w:hAnsi="仿宋" w:eastAsia="仿宋" w:cs="仿宋"/>
          <w:kern w:val="0"/>
          <w:sz w:val="32"/>
          <w:szCs w:val="32"/>
          <w:lang w:eastAsia="zh-CN"/>
        </w:rPr>
        <w:t>；</w:t>
      </w:r>
      <w:r>
        <w:rPr>
          <w:rFonts w:ascii="仿宋" w:hAnsi="仿宋" w:eastAsia="仿宋" w:cs="仿宋"/>
          <w:kern w:val="0"/>
          <w:sz w:val="32"/>
          <w:szCs w:val="32"/>
        </w:rPr>
        <w:t>四是注重党建带群建。组织开展“网上祭英烈”活动、“双节同庆”观影活动。联合举办“党建引领聚合力·凝心共治谱新篇”第四届态度红歌会，组织“红色基因传承月”等共建活动。推动全院大统战工作格局逐步形成。</w:t>
      </w:r>
    </w:p>
    <w:p w14:paraId="27158E38">
      <w:pPr>
        <w:pStyle w:val="28"/>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kern w:val="0"/>
          <w:sz w:val="32"/>
          <w:szCs w:val="32"/>
        </w:rPr>
        <w:t>（二）防灾减灾成效明显。一是科研成果丰硕。2023年以来，我院获得省部级科技奖励1项、社会力量奖1项，取得发明专利授权4项、实用新型专利授权16项，登记软件著作权2项，发表学术论文28篇</w:t>
      </w:r>
      <w:r>
        <w:rPr>
          <w:rFonts w:hint="eastAsia" w:ascii="仿宋" w:hAnsi="仿宋" w:eastAsia="仿宋" w:cs="仿宋"/>
          <w:kern w:val="0"/>
          <w:sz w:val="32"/>
          <w:szCs w:val="32"/>
          <w:lang w:eastAsia="zh-CN"/>
        </w:rPr>
        <w:t>；</w:t>
      </w:r>
      <w:r>
        <w:rPr>
          <w:rFonts w:ascii="仿宋" w:hAnsi="仿宋" w:eastAsia="仿宋" w:cs="仿宋"/>
          <w:kern w:val="0"/>
          <w:sz w:val="32"/>
          <w:szCs w:val="32"/>
        </w:rPr>
        <w:t>二是大力推进高层次科研项目实施。本年度共承担科研课题26项，含国家级1项、省部级1项、厅局级19项、其他类4项，新立6项</w:t>
      </w:r>
      <w:r>
        <w:rPr>
          <w:rFonts w:hint="eastAsia" w:ascii="仿宋" w:hAnsi="仿宋" w:eastAsia="仿宋" w:cs="仿宋"/>
          <w:kern w:val="0"/>
          <w:sz w:val="32"/>
          <w:szCs w:val="32"/>
          <w:lang w:eastAsia="zh-CN"/>
        </w:rPr>
        <w:t>；</w:t>
      </w:r>
      <w:r>
        <w:rPr>
          <w:rFonts w:ascii="仿宋" w:hAnsi="仿宋" w:eastAsia="仿宋" w:cs="仿宋"/>
          <w:kern w:val="0"/>
          <w:sz w:val="32"/>
          <w:szCs w:val="32"/>
        </w:rPr>
        <w:t>三是全力保障地灾防治工作。我院承接的800处群专结合地质灾害监测预警点建设任务提前超额完成，在全省8地市32个县（市、区）816处地灾隐患点布设监测设备6991台（套），目前设备在线率常态化超99.5%</w:t>
      </w:r>
      <w:r>
        <w:rPr>
          <w:rFonts w:hint="eastAsia" w:ascii="仿宋" w:hAnsi="仿宋" w:eastAsia="仿宋" w:cs="仿宋"/>
          <w:kern w:val="0"/>
          <w:sz w:val="32"/>
          <w:szCs w:val="32"/>
          <w:lang w:eastAsia="zh-CN"/>
        </w:rPr>
        <w:t>、</w:t>
      </w:r>
      <w:r>
        <w:rPr>
          <w:rFonts w:ascii="仿宋" w:hAnsi="仿宋" w:eastAsia="仿宋" w:cs="仿宋"/>
          <w:kern w:val="0"/>
          <w:sz w:val="32"/>
          <w:szCs w:val="32"/>
        </w:rPr>
        <w:t>我院赶制25个县群发性地质灾害高风险区图件220余幅，识别高易发泥石流隐患靶区98处</w:t>
      </w:r>
      <w:r>
        <w:rPr>
          <w:rFonts w:hint="eastAsia" w:ascii="仿宋" w:hAnsi="仿宋" w:eastAsia="仿宋" w:cs="仿宋"/>
          <w:kern w:val="0"/>
          <w:sz w:val="32"/>
          <w:szCs w:val="32"/>
          <w:lang w:eastAsia="zh-CN"/>
        </w:rPr>
        <w:t>、</w:t>
      </w:r>
      <w:r>
        <w:rPr>
          <w:rFonts w:ascii="仿宋" w:hAnsi="仿宋" w:eastAsia="仿宋" w:cs="仿宋"/>
          <w:kern w:val="0"/>
          <w:sz w:val="32"/>
          <w:szCs w:val="32"/>
        </w:rPr>
        <w:t>承担“全省50人以上地灾隐患点核查”工作，对全省1203处地灾隐患点开展野外技术核查，编制“三年行动方案”</w:t>
      </w:r>
      <w:r>
        <w:rPr>
          <w:rFonts w:hint="eastAsia" w:ascii="仿宋" w:hAnsi="仿宋" w:eastAsia="仿宋" w:cs="仿宋"/>
          <w:kern w:val="0"/>
          <w:sz w:val="32"/>
          <w:szCs w:val="32"/>
          <w:lang w:eastAsia="zh-CN"/>
        </w:rPr>
        <w:t>、</w:t>
      </w:r>
      <w:r>
        <w:rPr>
          <w:rFonts w:ascii="仿宋" w:hAnsi="仿宋" w:eastAsia="仿宋" w:cs="仿宋"/>
          <w:kern w:val="0"/>
          <w:sz w:val="32"/>
          <w:szCs w:val="32"/>
        </w:rPr>
        <w:t>组织开展“天上看、地上查、动态管”农村切坡建房地灾隐患风险评价的技术规则制定，实现切坡建房调查数据实时电子化采集后的自动化评价</w:t>
      </w:r>
      <w:r>
        <w:rPr>
          <w:rFonts w:hint="eastAsia" w:ascii="仿宋" w:hAnsi="仿宋" w:eastAsia="仿宋" w:cs="仿宋"/>
          <w:kern w:val="0"/>
          <w:sz w:val="32"/>
          <w:szCs w:val="32"/>
          <w:lang w:eastAsia="zh-CN"/>
        </w:rPr>
        <w:t>、</w:t>
      </w:r>
      <w:r>
        <w:rPr>
          <w:rFonts w:ascii="仿宋" w:hAnsi="仿宋" w:eastAsia="仿宋" w:cs="仿宋"/>
          <w:kern w:val="0"/>
          <w:sz w:val="32"/>
          <w:szCs w:val="32"/>
        </w:rPr>
        <w:t>承担省2023年度地质灾害风险“双控”试点工作，部署编制具体实施方案</w:t>
      </w:r>
      <w:r>
        <w:rPr>
          <w:rFonts w:hint="eastAsia" w:ascii="仿宋" w:hAnsi="仿宋" w:eastAsia="仿宋" w:cs="仿宋"/>
          <w:kern w:val="0"/>
          <w:sz w:val="32"/>
          <w:szCs w:val="32"/>
          <w:lang w:eastAsia="zh-CN"/>
        </w:rPr>
        <w:t>、</w:t>
      </w:r>
      <w:r>
        <w:rPr>
          <w:rFonts w:ascii="仿宋" w:hAnsi="仿宋" w:eastAsia="仿宋" w:cs="仿宋"/>
          <w:kern w:val="0"/>
          <w:sz w:val="32"/>
          <w:szCs w:val="32"/>
        </w:rPr>
        <w:t>坚守地灾防治一线</w:t>
      </w:r>
      <w:r>
        <w:rPr>
          <w:rFonts w:hint="eastAsia" w:ascii="仿宋" w:hAnsi="仿宋" w:eastAsia="仿宋" w:cs="仿宋"/>
          <w:kern w:val="0"/>
          <w:sz w:val="32"/>
          <w:szCs w:val="32"/>
          <w:lang w:eastAsia="zh-CN"/>
        </w:rPr>
        <w:t>。</w:t>
      </w:r>
      <w:r>
        <w:rPr>
          <w:rFonts w:ascii="仿宋" w:hAnsi="仿宋" w:eastAsia="仿宋" w:cs="仿宋"/>
          <w:kern w:val="0"/>
          <w:sz w:val="32"/>
          <w:szCs w:val="32"/>
        </w:rPr>
        <w:t>全年累计派遣应急技术人员190人次，应急处置地质灾害121处</w:t>
      </w:r>
      <w:r>
        <w:rPr>
          <w:rFonts w:hint="eastAsia" w:ascii="仿宋" w:hAnsi="仿宋" w:eastAsia="仿宋" w:cs="仿宋"/>
          <w:kern w:val="0"/>
          <w:sz w:val="32"/>
          <w:szCs w:val="32"/>
          <w:lang w:eastAsia="zh-CN"/>
        </w:rPr>
        <w:t>；</w:t>
      </w:r>
      <w:r>
        <w:rPr>
          <w:rFonts w:ascii="仿宋" w:hAnsi="仿宋" w:eastAsia="仿宋" w:cs="仿宋"/>
          <w:kern w:val="0"/>
          <w:sz w:val="32"/>
          <w:szCs w:val="32"/>
        </w:rPr>
        <w:t>四是重视加强开放交流。选派技术骨干参加全国性行业内专题会议、职业技能竞赛等。本年度累计参加国内学术会议11场，固定研究人员作特邀报告2场，专题报告3场</w:t>
      </w:r>
      <w:r>
        <w:rPr>
          <w:rFonts w:hint="eastAsia" w:ascii="仿宋" w:hAnsi="仿宋" w:eastAsia="仿宋" w:cs="仿宋"/>
          <w:kern w:val="0"/>
          <w:sz w:val="32"/>
          <w:szCs w:val="32"/>
          <w:lang w:eastAsia="zh-CN"/>
        </w:rPr>
        <w:t>、</w:t>
      </w:r>
      <w:r>
        <w:rPr>
          <w:rFonts w:ascii="仿宋" w:hAnsi="仿宋" w:eastAsia="仿宋" w:cs="仿宋"/>
          <w:kern w:val="0"/>
          <w:sz w:val="32"/>
          <w:szCs w:val="32"/>
        </w:rPr>
        <w:t>与国内同行开展互访交流活动5场，参与人数116人次</w:t>
      </w:r>
      <w:r>
        <w:rPr>
          <w:rFonts w:hint="eastAsia" w:ascii="仿宋" w:hAnsi="仿宋" w:eastAsia="仿宋" w:cs="仿宋"/>
          <w:kern w:val="0"/>
          <w:sz w:val="32"/>
          <w:szCs w:val="32"/>
          <w:lang w:eastAsia="zh-CN"/>
        </w:rPr>
        <w:t>、</w:t>
      </w:r>
      <w:r>
        <w:rPr>
          <w:rFonts w:ascii="仿宋" w:hAnsi="仿宋" w:eastAsia="仿宋" w:cs="仿宋"/>
          <w:kern w:val="0"/>
          <w:sz w:val="32"/>
          <w:szCs w:val="32"/>
        </w:rPr>
        <w:t>参加全国性技能竞赛1场，获优秀组织奖。</w:t>
      </w:r>
    </w:p>
    <w:p w14:paraId="78D4DC1D">
      <w:pPr>
        <w:pStyle w:val="28"/>
        <w:widowControl/>
        <w:spacing w:before="240" w:after="240" w:line="600" w:lineRule="atLeast"/>
        <w:ind w:firstLine="640"/>
        <w:jc w:val="left"/>
        <w:rPr>
          <w:rFonts w:ascii="仿宋" w:hAnsi="仿宋" w:eastAsia="仿宋" w:cs="仿宋"/>
          <w:kern w:val="0"/>
          <w:sz w:val="32"/>
          <w:szCs w:val="32"/>
        </w:rPr>
      </w:pPr>
      <w:r>
        <w:rPr>
          <w:rFonts w:ascii="仿宋" w:hAnsi="仿宋" w:eastAsia="仿宋" w:cs="仿宋"/>
          <w:kern w:val="0"/>
          <w:sz w:val="32"/>
          <w:szCs w:val="32"/>
        </w:rPr>
        <w:t>（三）勘察主业稳步提升。一是全力拓展业务，开拓新市场。踊跃投身勘察、监测、设计、施工市场，积极承接各类省重点工程。成功签订厦门太古翔安新机场维修基地项目超前钻勘察工程</w:t>
      </w:r>
      <w:r>
        <w:rPr>
          <w:rFonts w:hint="eastAsia" w:ascii="仿宋" w:hAnsi="仿宋" w:eastAsia="仿宋" w:cs="仿宋"/>
          <w:kern w:val="0"/>
          <w:sz w:val="32"/>
          <w:szCs w:val="32"/>
          <w:lang w:eastAsia="zh-CN"/>
        </w:rPr>
        <w:t>、</w:t>
      </w:r>
      <w:r>
        <w:rPr>
          <w:rFonts w:ascii="仿宋" w:hAnsi="仿宋" w:eastAsia="仿宋" w:cs="仿宋"/>
          <w:kern w:val="0"/>
          <w:sz w:val="32"/>
          <w:szCs w:val="32"/>
        </w:rPr>
        <w:t>平和县花山溪流域重点区域污染防控与综合施策修复工程一期工程总承包等项目</w:t>
      </w:r>
      <w:r>
        <w:rPr>
          <w:rFonts w:hint="eastAsia" w:ascii="仿宋" w:hAnsi="仿宋" w:eastAsia="仿宋" w:cs="仿宋"/>
          <w:kern w:val="0"/>
          <w:sz w:val="32"/>
          <w:szCs w:val="32"/>
          <w:lang w:eastAsia="zh-CN"/>
        </w:rPr>
        <w:t>；</w:t>
      </w:r>
      <w:r>
        <w:rPr>
          <w:rFonts w:ascii="仿宋" w:hAnsi="仿宋" w:eastAsia="仿宋" w:cs="仿宋"/>
          <w:kern w:val="0"/>
          <w:sz w:val="32"/>
          <w:szCs w:val="32"/>
        </w:rPr>
        <w:t>二是注重质量管理，品牌优势突出。坚持“质量至上”的原则，重视勘察项目合同登记及管理工作，严格实行传递卡制度，做到有序管理。重视勘察质量管理工作，严把勘察报告审核关，勘察报告合格率达100%</w:t>
      </w:r>
      <w:r>
        <w:rPr>
          <w:rFonts w:hint="eastAsia" w:ascii="仿宋" w:hAnsi="仿宋" w:eastAsia="仿宋" w:cs="仿宋"/>
          <w:kern w:val="0"/>
          <w:sz w:val="32"/>
          <w:szCs w:val="32"/>
          <w:lang w:eastAsia="zh-CN"/>
        </w:rPr>
        <w:t>、</w:t>
      </w:r>
      <w:r>
        <w:rPr>
          <w:rFonts w:ascii="仿宋" w:hAnsi="仿宋" w:eastAsia="仿宋" w:cs="仿宋"/>
          <w:kern w:val="0"/>
          <w:sz w:val="32"/>
          <w:szCs w:val="32"/>
        </w:rPr>
        <w:t>积极组织参评福建省勘察设计协会优秀工程勘察设计成果认定，我院项目“福建省儿童医院”获工程勘察优秀一等奖，“融创.溪郡”项目获工程勘察优秀二等奖</w:t>
      </w:r>
      <w:r>
        <w:rPr>
          <w:rFonts w:hint="eastAsia" w:ascii="仿宋" w:hAnsi="仿宋" w:eastAsia="仿宋" w:cs="仿宋"/>
          <w:kern w:val="0"/>
          <w:sz w:val="32"/>
          <w:szCs w:val="32"/>
          <w:lang w:eastAsia="zh-CN"/>
        </w:rPr>
        <w:t>；</w:t>
      </w:r>
      <w:r>
        <w:rPr>
          <w:rFonts w:ascii="仿宋" w:hAnsi="仿宋" w:eastAsia="仿宋" w:cs="仿宋"/>
          <w:kern w:val="0"/>
          <w:sz w:val="32"/>
          <w:szCs w:val="32"/>
        </w:rPr>
        <w:t>三是保护性监测项目开展初见成效。与全国房地产龙头万科以及地铁集团紧密合作，承接了“甘洪路提升改造工程（首邑大道）对福州地铁5号”等多个地保监测项目。我院作为本土技术服务单位的优势将会逐步显现，市场前景向好。</w:t>
      </w:r>
    </w:p>
    <w:p w14:paraId="477D3F80">
      <w:pPr>
        <w:pStyle w:val="28"/>
        <w:widowControl/>
        <w:spacing w:before="240" w:after="240" w:line="600" w:lineRule="atLeast"/>
        <w:ind w:firstLine="64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生态地质持续优化。一是更好支撑服务生态强省建设。持续支撑服务生态文明先导区建设，开展生态地质综合调查，承接土壤和地下水环境污染防治等项目。今年已高质量完成、推进多个等生态地质项目；二是更好支撑服务行政管理，有效解决了当地乡镇多年缺水难题。协助完成“浦城县第三次全国土壤普查”，项目成果评定为全国22个优秀试点县之一、开足马力推进“第三次全国土壤普查”工作，成功中标省级三普土壤剖面调查采样项目，力争保质保量完成任务、助推地方温泉经济，承担“福清海口镇晨光村地热勘查”等任务、积极对接仙游地热资源等项目，并申请经费立项。三是更好支撑服务城乡发展建设。积极承担“（龙岩新机场建设项目）压覆矿产资源调查评估”等多个水文地质、土地矿调等项目，参与试点将乐县常口村数字乡村建设项目，已经完成信息系统软件端开发。进一步推进建瓯市千年古城一体化提升项目勘测，有效助力地方经济建设。</w:t>
      </w:r>
    </w:p>
    <w:p w14:paraId="31E73E5C">
      <w:pPr>
        <w:pStyle w:val="28"/>
        <w:widowControl/>
        <w:spacing w:before="240" w:after="240" w:line="600" w:lineRule="atLeast"/>
        <w:ind w:firstLine="64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从严从实强化监管。一是切实加强党的领导。坚定不移推进全面从严治党。在主题教育期间，根据《领导班子调查研究工作方案》，将大兴调查研究抓实抓好，3位党委成员深入开展专题调研，并在调研等基础上对全院党员进行党课教育；二是落实党委和纪检部门管党治党责任。院领导班子和职能部门认真负责，及时抓好全面从严治党主体责任情况检查问题的整改，确保全面从严治党落深落细落到实处；三是扎实有力开展教育整顿工作。时刻以整顿提高为第一要务，紧盯各环节目标任务，通过不断完善“第一议题制度”，抓好纪检监察干部自学，开展集中研讨、主题实践活动等方式，高标准推动教育整顿工作落实落地；四是坚持以严的基调强化正风肃纪。认真抓好日常监督，有效发挥审计职能，严格落实谈心谈话制度，应用好监督执纪“四种形态”的第一种形态，切实前移廉洁自律关口。</w:t>
      </w:r>
    </w:p>
    <w:p w14:paraId="3B469E38">
      <w:pPr>
        <w:pStyle w:val="28"/>
        <w:widowControl/>
        <w:spacing w:before="240" w:after="240" w:line="600" w:lineRule="atLeast"/>
        <w:ind w:firstLine="64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lang w:eastAsia="zh-CN"/>
        </w:rPr>
        <w:t>）全力维护和谐稳定。一是加强源头管理，常态化管控应收账款。年内召开12次办公会议、1次专题会议强调部署应收账款相关工作，切实加强管理，取得一定成效；二是全力防范安全、保密风险。全面落实安全生产主体责任、保密工作责任，抓好制度建设。深入开展“反三违”专项行动，积极推进隐患排查治理专项行动；三是注重教育培训，有效提升队伍专业素质。着重培养全院干部职工尤其是年轻干部职工厚实的理论基础、坚定的理想信念和高度的政治思想觉悟，切实做到在做中学，学中做，把理论运用于实践。全年完成培训21项，均收到良好效果。</w:t>
      </w:r>
    </w:p>
    <w:p w14:paraId="4DDEBA10">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6CF4D5E8">
      <w:pPr>
        <w:pStyle w:val="29"/>
        <w:widowControl/>
        <w:spacing w:before="240" w:after="240"/>
        <w:jc w:val="left"/>
        <w:rPr>
          <w:rFonts w:ascii="黑体" w:hAnsi="黑体" w:eastAsia="黑体" w:cs="黑体"/>
          <w:kern w:val="0"/>
          <w:sz w:val="56"/>
          <w:szCs w:val="56"/>
        </w:rPr>
      </w:pPr>
    </w:p>
    <w:p w14:paraId="2E2FF122">
      <w:pPr>
        <w:pStyle w:val="29"/>
        <w:widowControl/>
        <w:spacing w:before="240" w:after="240"/>
        <w:jc w:val="left"/>
        <w:rPr>
          <w:rFonts w:ascii="黑体" w:hAnsi="黑体" w:eastAsia="黑体" w:cs="黑体"/>
          <w:kern w:val="0"/>
          <w:sz w:val="56"/>
          <w:szCs w:val="56"/>
        </w:rPr>
      </w:pPr>
    </w:p>
    <w:p w14:paraId="3E548154">
      <w:pPr>
        <w:pStyle w:val="29"/>
        <w:widowControl/>
        <w:spacing w:before="240" w:after="240"/>
        <w:jc w:val="left"/>
        <w:rPr>
          <w:rFonts w:ascii="黑体" w:hAnsi="黑体" w:eastAsia="黑体" w:cs="黑体"/>
          <w:kern w:val="0"/>
          <w:sz w:val="56"/>
          <w:szCs w:val="56"/>
        </w:rPr>
      </w:pPr>
    </w:p>
    <w:p w14:paraId="66F40560">
      <w:pPr>
        <w:pStyle w:val="29"/>
        <w:widowControl/>
        <w:spacing w:before="240" w:after="240"/>
        <w:jc w:val="left"/>
        <w:rPr>
          <w:rFonts w:ascii="黑体" w:hAnsi="黑体" w:eastAsia="黑体" w:cs="黑体"/>
          <w:kern w:val="0"/>
          <w:sz w:val="56"/>
          <w:szCs w:val="56"/>
        </w:rPr>
      </w:pPr>
    </w:p>
    <w:p w14:paraId="658288DF">
      <w:pPr>
        <w:pStyle w:val="29"/>
        <w:widowControl/>
        <w:spacing w:before="240" w:after="240"/>
        <w:jc w:val="left"/>
        <w:rPr>
          <w:rFonts w:ascii="黑体" w:hAnsi="黑体" w:eastAsia="黑体" w:cs="黑体"/>
          <w:kern w:val="0"/>
          <w:sz w:val="56"/>
          <w:szCs w:val="56"/>
        </w:rPr>
      </w:pPr>
    </w:p>
    <w:p w14:paraId="773CCCD0">
      <w:pPr>
        <w:pStyle w:val="29"/>
        <w:widowControl/>
        <w:spacing w:before="240" w:after="240"/>
        <w:jc w:val="left"/>
        <w:rPr>
          <w:rFonts w:ascii="黑体" w:hAnsi="黑体" w:eastAsia="黑体" w:cs="黑体"/>
          <w:kern w:val="0"/>
          <w:sz w:val="56"/>
          <w:szCs w:val="56"/>
        </w:rPr>
      </w:pPr>
    </w:p>
    <w:p w14:paraId="6E9D98DA">
      <w:pPr>
        <w:pStyle w:val="29"/>
        <w:widowControl/>
        <w:spacing w:before="240" w:after="240"/>
        <w:jc w:val="left"/>
        <w:rPr>
          <w:rFonts w:ascii="黑体" w:hAnsi="黑体" w:eastAsia="黑体" w:cs="黑体"/>
          <w:kern w:val="0"/>
          <w:sz w:val="56"/>
          <w:szCs w:val="56"/>
        </w:rPr>
      </w:pPr>
    </w:p>
    <w:p w14:paraId="47B35F0E">
      <w:pPr>
        <w:pStyle w:val="29"/>
        <w:widowControl/>
        <w:spacing w:before="240" w:after="240"/>
        <w:jc w:val="left"/>
        <w:rPr>
          <w:rFonts w:ascii="黑体" w:hAnsi="黑体" w:eastAsia="黑体" w:cs="黑体"/>
          <w:kern w:val="0"/>
          <w:sz w:val="56"/>
          <w:szCs w:val="56"/>
        </w:rPr>
      </w:pPr>
    </w:p>
    <w:p w14:paraId="379474D2">
      <w:pPr>
        <w:pStyle w:val="29"/>
        <w:widowControl/>
        <w:spacing w:before="240" w:after="240"/>
        <w:jc w:val="left"/>
        <w:rPr>
          <w:rFonts w:ascii="黑体" w:hAnsi="黑体" w:eastAsia="黑体" w:cs="黑体"/>
          <w:kern w:val="0"/>
          <w:sz w:val="56"/>
          <w:szCs w:val="56"/>
        </w:rPr>
      </w:pPr>
    </w:p>
    <w:p w14:paraId="7F93EDA5">
      <w:pPr>
        <w:pStyle w:val="29"/>
        <w:widowControl/>
        <w:spacing w:before="240" w:after="240"/>
        <w:jc w:val="center"/>
        <w:rPr>
          <w:rFonts w:ascii="黑体" w:hAnsi="黑体" w:eastAsia="黑体" w:cs="黑体"/>
          <w:kern w:val="0"/>
          <w:sz w:val="56"/>
          <w:szCs w:val="56"/>
        </w:rPr>
      </w:pPr>
    </w:p>
    <w:p w14:paraId="5E824E98">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第二部分</w:t>
      </w:r>
    </w:p>
    <w:p w14:paraId="56C98EEA">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2023年度决算表</w:t>
      </w:r>
    </w:p>
    <w:p w14:paraId="296CDA12">
      <w:pPr>
        <w:pStyle w:val="31"/>
        <w:widowControl/>
        <w:spacing w:before="240" w:after="240"/>
        <w:ind w:left="720" w:hanging="720"/>
        <w:jc w:val="left"/>
        <w:rPr>
          <w:rFonts w:ascii="黑体" w:hAnsi="黑体" w:eastAsia="黑体" w:cs="黑体"/>
          <w:kern w:val="0"/>
          <w:sz w:val="32"/>
          <w:szCs w:val="32"/>
        </w:rPr>
      </w:pPr>
    </w:p>
    <w:p w14:paraId="2435431A">
      <w:pPr>
        <w:pStyle w:val="31"/>
        <w:widowControl/>
        <w:spacing w:before="240" w:after="240"/>
        <w:ind w:left="720" w:hanging="720"/>
        <w:jc w:val="left"/>
        <w:rPr>
          <w:rFonts w:ascii="黑体" w:hAnsi="黑体" w:eastAsia="黑体" w:cs="黑体"/>
          <w:kern w:val="0"/>
          <w:sz w:val="32"/>
          <w:szCs w:val="32"/>
        </w:rPr>
      </w:pPr>
    </w:p>
    <w:p w14:paraId="2DF30F51">
      <w:pPr>
        <w:pStyle w:val="31"/>
        <w:widowControl/>
        <w:spacing w:before="240" w:after="240"/>
        <w:ind w:left="720" w:hanging="720"/>
        <w:jc w:val="left"/>
        <w:rPr>
          <w:rFonts w:ascii="黑体" w:hAnsi="黑体" w:eastAsia="黑体" w:cs="黑体"/>
          <w:kern w:val="0"/>
          <w:sz w:val="32"/>
          <w:szCs w:val="32"/>
        </w:rPr>
      </w:pPr>
    </w:p>
    <w:p w14:paraId="7FC29F06">
      <w:pPr>
        <w:pStyle w:val="31"/>
        <w:widowControl/>
        <w:spacing w:before="240" w:after="240"/>
        <w:ind w:left="720" w:hanging="720"/>
        <w:jc w:val="left"/>
        <w:rPr>
          <w:rFonts w:ascii="黑体" w:hAnsi="黑体" w:eastAsia="黑体" w:cs="黑体"/>
          <w:kern w:val="0"/>
          <w:sz w:val="32"/>
          <w:szCs w:val="32"/>
        </w:rPr>
      </w:pPr>
    </w:p>
    <w:p w14:paraId="47B1093F">
      <w:pPr>
        <w:pStyle w:val="31"/>
        <w:widowControl/>
        <w:spacing w:before="240" w:after="240"/>
        <w:ind w:left="720" w:hanging="720"/>
        <w:jc w:val="left"/>
        <w:rPr>
          <w:rFonts w:ascii="黑体" w:hAnsi="黑体" w:eastAsia="黑体" w:cs="黑体"/>
          <w:kern w:val="0"/>
          <w:sz w:val="32"/>
          <w:szCs w:val="32"/>
        </w:rPr>
      </w:pPr>
    </w:p>
    <w:p w14:paraId="0FF9BEA9">
      <w:pPr>
        <w:pStyle w:val="31"/>
        <w:widowControl/>
        <w:spacing w:before="240" w:after="240"/>
        <w:ind w:left="720" w:hanging="720"/>
        <w:jc w:val="left"/>
        <w:rPr>
          <w:rFonts w:ascii="黑体" w:hAnsi="黑体" w:eastAsia="黑体" w:cs="黑体"/>
          <w:kern w:val="0"/>
          <w:sz w:val="32"/>
          <w:szCs w:val="32"/>
        </w:rPr>
      </w:pPr>
    </w:p>
    <w:p w14:paraId="3A403C1C">
      <w:pPr>
        <w:pStyle w:val="31"/>
        <w:widowControl/>
        <w:spacing w:before="240" w:after="240"/>
        <w:ind w:left="720" w:hanging="720"/>
        <w:jc w:val="left"/>
        <w:rPr>
          <w:rFonts w:ascii="黑体" w:hAnsi="黑体" w:eastAsia="黑体" w:cs="黑体"/>
          <w:kern w:val="0"/>
          <w:sz w:val="32"/>
          <w:szCs w:val="32"/>
        </w:rPr>
      </w:pPr>
    </w:p>
    <w:p w14:paraId="1F1B568A">
      <w:pPr>
        <w:pStyle w:val="31"/>
        <w:widowControl/>
        <w:spacing w:before="240" w:after="240"/>
        <w:ind w:left="720" w:hanging="720"/>
        <w:jc w:val="left"/>
        <w:rPr>
          <w:rFonts w:ascii="黑体" w:hAnsi="黑体" w:eastAsia="黑体" w:cs="黑体"/>
          <w:kern w:val="0"/>
          <w:sz w:val="32"/>
          <w:szCs w:val="32"/>
        </w:rPr>
      </w:pPr>
    </w:p>
    <w:p w14:paraId="3AEA069F">
      <w:pPr>
        <w:pStyle w:val="31"/>
        <w:widowControl/>
        <w:spacing w:before="240" w:after="240"/>
        <w:jc w:val="left"/>
        <w:rPr>
          <w:rFonts w:ascii="黑体" w:hAnsi="黑体" w:eastAsia="黑体" w:cs="黑体"/>
          <w:kern w:val="0"/>
          <w:sz w:val="32"/>
          <w:szCs w:val="32"/>
        </w:rPr>
      </w:pPr>
    </w:p>
    <w:p w14:paraId="15646C91">
      <w:pPr>
        <w:pStyle w:val="31"/>
        <w:widowControl/>
        <w:spacing w:before="240" w:after="240"/>
        <w:jc w:val="left"/>
      </w:pPr>
      <w:r>
        <w:rPr>
          <w:rFonts w:ascii="黑体" w:hAnsi="黑体" w:eastAsia="黑体" w:cs="黑体"/>
          <w:kern w:val="0"/>
          <w:sz w:val="32"/>
          <w:szCs w:val="32"/>
        </w:rPr>
        <w:t>一、收入支出决算总表</w:t>
      </w:r>
    </w:p>
    <w:p w14:paraId="67F39A1A">
      <w:r>
        <w:drawing>
          <wp:inline distT="0" distB="0" distL="114300" distR="114300">
            <wp:extent cx="6522720" cy="65379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6522720" cy="6537960"/>
                    </a:xfrm>
                    <a:prstGeom prst="rect">
                      <a:avLst/>
                    </a:prstGeom>
                    <a:noFill/>
                    <a:ln>
                      <a:noFill/>
                    </a:ln>
                  </pic:spPr>
                </pic:pic>
              </a:graphicData>
            </a:graphic>
          </wp:inline>
        </w:drawing>
      </w:r>
    </w:p>
    <w:p w14:paraId="31C082E7">
      <w:pPr>
        <w:pStyle w:val="32"/>
        <w:widowControl/>
        <w:spacing w:before="240" w:after="240"/>
        <w:jc w:val="left"/>
        <w:rPr>
          <w:rFonts w:ascii="宋体" w:hAnsi="宋体" w:cs="宋体"/>
          <w:kern w:val="0"/>
          <w:sz w:val="24"/>
        </w:rPr>
      </w:pPr>
      <w:r>
        <w:rPr>
          <w:rFonts w:ascii="宋体" w:hAnsi="宋体" w:cs="宋体"/>
          <w:kern w:val="0"/>
          <w:sz w:val="24"/>
        </w:rPr>
        <w:t>注：</w:t>
      </w:r>
      <w:r>
        <w:rPr>
          <w:rFonts w:eastAsia="Times New Roman"/>
          <w:kern w:val="0"/>
          <w:sz w:val="24"/>
        </w:rPr>
        <w:t>1. </w:t>
      </w:r>
      <w:r>
        <w:rPr>
          <w:rFonts w:ascii="宋体" w:hAnsi="宋体" w:cs="宋体"/>
          <w:kern w:val="0"/>
          <w:sz w:val="24"/>
        </w:rPr>
        <w:t>本表反映单位本年度的总收支和年末结转结余情况。</w:t>
      </w:r>
    </w:p>
    <w:p w14:paraId="5DDF0120">
      <w:pPr>
        <w:pStyle w:val="32"/>
        <w:widowControl/>
        <w:spacing w:before="240" w:after="240"/>
        <w:ind w:firstLine="480"/>
        <w:jc w:val="left"/>
        <w:rPr>
          <w:rFonts w:ascii="Times New Roman" w:hAnsi="Times New Roman" w:eastAsia="Times New Roman" w:cs="Times New Roman"/>
          <w:kern w:val="0"/>
          <w:sz w:val="24"/>
        </w:rPr>
      </w:pPr>
      <w:r>
        <w:rPr>
          <w:rFonts w:eastAsia="Times New Roman"/>
          <w:kern w:val="0"/>
          <w:sz w:val="24"/>
        </w:rPr>
        <w:t>2.</w:t>
      </w:r>
      <w:r>
        <w:rPr>
          <w:rFonts w:ascii="Times New Roman" w:hAnsi="Times New Roman" w:eastAsia="Times New Roman" w:cs="Times New Roman"/>
          <w:kern w:val="0"/>
          <w:sz w:val="24"/>
        </w:rPr>
        <w:t> </w:t>
      </w:r>
      <w:r>
        <w:rPr>
          <w:rFonts w:ascii="宋体" w:hAnsi="宋体" w:cs="宋体"/>
          <w:kern w:val="0"/>
          <w:sz w:val="24"/>
        </w:rPr>
        <w:t>本套报表金额单位转换时可能存在尾数误差。</w:t>
      </w:r>
    </w:p>
    <w:p w14:paraId="6CA70A9A">
      <w:pPr>
        <w:jc w:val="left"/>
        <w:sectPr>
          <w:footerReference r:id="rId4" w:type="default"/>
          <w:pgMar w:top="1440" w:right="720" w:bottom="1440" w:left="720" w:header="720" w:footer="720" w:gutter="0"/>
          <w:pgNumType w:fmt="decimal" w:start="1"/>
          <w:cols w:space="720" w:num="1"/>
        </w:sectPr>
      </w:pPr>
    </w:p>
    <w:p w14:paraId="40310D96">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p w14:paraId="6480107C">
      <w:pPr>
        <w:pStyle w:val="31"/>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32"/>
          <w:szCs w:val="32"/>
        </w:rPr>
        <w:t> </w:t>
      </w:r>
    </w:p>
    <w:p w14:paraId="44CA3FEB">
      <w:pPr>
        <w:pStyle w:val="31"/>
        <w:widowControl/>
        <w:spacing w:before="240" w:after="240"/>
        <w:ind w:left="720" w:hanging="720"/>
        <w:jc w:val="left"/>
      </w:pPr>
      <w:r>
        <w:drawing>
          <wp:anchor distT="0" distB="0" distL="114300" distR="114300" simplePos="0" relativeHeight="251659264" behindDoc="0" locked="0" layoutInCell="1" allowOverlap="1">
            <wp:simplePos x="0" y="0"/>
            <wp:positionH relativeFrom="column">
              <wp:posOffset>194945</wp:posOffset>
            </wp:positionH>
            <wp:positionV relativeFrom="paragraph">
              <wp:posOffset>437515</wp:posOffset>
            </wp:positionV>
            <wp:extent cx="9098280" cy="4351020"/>
            <wp:effectExtent l="0" t="0" r="0" b="762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9098280" cy="4351020"/>
                    </a:xfrm>
                    <a:prstGeom prst="rect">
                      <a:avLst/>
                    </a:prstGeom>
                    <a:noFill/>
                    <a:ln>
                      <a:noFill/>
                    </a:ln>
                  </pic:spPr>
                </pic:pic>
              </a:graphicData>
            </a:graphic>
          </wp:anchor>
        </w:drawing>
      </w:r>
      <w:r>
        <w:rPr>
          <w:rFonts w:ascii="黑体" w:hAnsi="黑体" w:eastAsia="黑体" w:cs="黑体"/>
          <w:kern w:val="0"/>
          <w:sz w:val="32"/>
          <w:szCs w:val="32"/>
        </w:rPr>
        <w:t>二、收入决算表</w:t>
      </w:r>
    </w:p>
    <w:p w14:paraId="56B2C6F5">
      <w:pPr>
        <w:rPr>
          <w:rFonts w:ascii="Times New Roman" w:hAnsi="Times New Roman" w:eastAsia="Times New Roman" w:cs="Times New Roman"/>
          <w:kern w:val="0"/>
          <w:sz w:val="24"/>
        </w:rPr>
      </w:pPr>
      <w:r>
        <w:rPr>
          <w:rFonts w:ascii="宋体" w:hAnsi="宋体" w:cs="宋体"/>
          <w:kern w:val="0"/>
          <w:sz w:val="24"/>
        </w:rPr>
        <w:t>注：本表反映单位本年度取得的各项收入情况。</w:t>
      </w:r>
      <w:r>
        <w:rPr>
          <w:rFonts w:ascii="黑体" w:hAnsi="黑体" w:eastAsia="黑体" w:cs="黑体"/>
          <w:kern w:val="0"/>
          <w:sz w:val="32"/>
          <w:szCs w:val="32"/>
        </w:rPr>
        <w:t> </w:t>
      </w:r>
    </w:p>
    <w:p w14:paraId="6529F111">
      <w:pPr>
        <w:pStyle w:val="31"/>
        <w:widowControl/>
        <w:spacing w:before="240" w:after="240"/>
        <w:ind w:left="720" w:hanging="720"/>
        <w:jc w:val="left"/>
        <w:rPr>
          <w:rFonts w:ascii="Times New Roman" w:hAnsi="Times New Roman" w:eastAsia="Times New Roman" w:cs="Times New Roman"/>
          <w:kern w:val="0"/>
          <w:sz w:val="24"/>
        </w:rPr>
      </w:pPr>
      <w:r>
        <w:rPr>
          <w:rFonts w:ascii="黑体" w:hAnsi="黑体" w:eastAsia="黑体" w:cs="黑体"/>
          <w:kern w:val="0"/>
          <w:sz w:val="32"/>
          <w:szCs w:val="32"/>
        </w:rPr>
        <w:t>三、支出决算表</w:t>
      </w:r>
    </w:p>
    <w:p w14:paraId="0459B741">
      <w:r>
        <w:drawing>
          <wp:anchor distT="0" distB="0" distL="114300" distR="114300" simplePos="0" relativeHeight="251660288" behindDoc="0" locked="0" layoutInCell="1" allowOverlap="1">
            <wp:simplePos x="0" y="0"/>
            <wp:positionH relativeFrom="column">
              <wp:posOffset>34290</wp:posOffset>
            </wp:positionH>
            <wp:positionV relativeFrom="paragraph">
              <wp:posOffset>20955</wp:posOffset>
            </wp:positionV>
            <wp:extent cx="9420225" cy="4911725"/>
            <wp:effectExtent l="0" t="0" r="13335" b="1079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9420225" cy="4911725"/>
                    </a:xfrm>
                    <a:prstGeom prst="rect">
                      <a:avLst/>
                    </a:prstGeom>
                    <a:noFill/>
                    <a:ln>
                      <a:noFill/>
                    </a:ln>
                  </pic:spPr>
                </pic:pic>
              </a:graphicData>
            </a:graphic>
          </wp:anchor>
        </w:drawing>
      </w:r>
    </w:p>
    <w:p w14:paraId="75BB8862">
      <w:pPr>
        <w:rPr>
          <w:rFonts w:ascii="Times New Roman" w:hAnsi="Times New Roman" w:eastAsia="Times New Roman" w:cs="Times New Roman"/>
          <w:kern w:val="0"/>
          <w:sz w:val="24"/>
        </w:rPr>
      </w:pPr>
      <w:r>
        <w:rPr>
          <w:rFonts w:ascii="宋体" w:hAnsi="宋体" w:cs="宋体"/>
          <w:kern w:val="0"/>
          <w:sz w:val="24"/>
        </w:rPr>
        <w:t>注：本表反映单位本年度各项支出情况。</w:t>
      </w:r>
      <w:r>
        <w:rPr>
          <w:rFonts w:ascii="Times New Roman" w:hAnsi="Times New Roman" w:eastAsia="Times New Roman" w:cs="Times New Roman"/>
          <w:kern w:val="0"/>
          <w:sz w:val="24"/>
        </w:rPr>
        <w:t> </w:t>
      </w:r>
    </w:p>
    <w:p w14:paraId="411E1CBB">
      <w:pPr>
        <w:pStyle w:val="31"/>
        <w:widowControl/>
        <w:spacing w:before="240" w:after="240"/>
        <w:ind w:left="720" w:hanging="720"/>
        <w:jc w:val="left"/>
        <w:rPr>
          <w:rFonts w:ascii="Times New Roman" w:hAnsi="Times New Roman" w:eastAsia="Times New Roman" w:cs="Times New Roman"/>
          <w:kern w:val="0"/>
          <w:sz w:val="24"/>
        </w:rPr>
      </w:pPr>
      <w:r>
        <w:rPr>
          <w:rFonts w:ascii="黑体" w:hAnsi="黑体" w:eastAsia="黑体" w:cs="黑体"/>
          <w:kern w:val="0"/>
          <w:sz w:val="32"/>
          <w:szCs w:val="32"/>
        </w:rPr>
        <w:t>四、财政拨款收入支出决算总表</w:t>
      </w:r>
    </w:p>
    <w:p w14:paraId="5DD67E2A">
      <w:pPr>
        <w:pStyle w:val="32"/>
        <w:widowControl/>
        <w:spacing w:before="240" w:after="240"/>
        <w:jc w:val="left"/>
        <w:rPr>
          <w:rFonts w:ascii="黑体" w:hAnsi="黑体" w:eastAsia="黑体" w:cs="黑体"/>
          <w:kern w:val="0"/>
          <w:sz w:val="32"/>
          <w:szCs w:val="32"/>
        </w:rPr>
      </w:pPr>
      <w:r>
        <w:drawing>
          <wp:anchor distT="0" distB="0" distL="114300" distR="114300" simplePos="0" relativeHeight="251661312" behindDoc="0" locked="0" layoutInCell="1" allowOverlap="1">
            <wp:simplePos x="0" y="0"/>
            <wp:positionH relativeFrom="column">
              <wp:posOffset>499745</wp:posOffset>
            </wp:positionH>
            <wp:positionV relativeFrom="paragraph">
              <wp:posOffset>48260</wp:posOffset>
            </wp:positionV>
            <wp:extent cx="8489315" cy="4815840"/>
            <wp:effectExtent l="0" t="0" r="14605"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8489315" cy="4815840"/>
                    </a:xfrm>
                    <a:prstGeom prst="rect">
                      <a:avLst/>
                    </a:prstGeom>
                    <a:noFill/>
                    <a:ln>
                      <a:noFill/>
                    </a:ln>
                  </pic:spPr>
                </pic:pic>
              </a:graphicData>
            </a:graphic>
          </wp:anchor>
        </w:drawing>
      </w:r>
      <w:r>
        <w:rPr>
          <w:rFonts w:ascii="宋体" w:hAnsi="宋体" w:cs="宋体"/>
          <w:kern w:val="0"/>
          <w:sz w:val="24"/>
        </w:rPr>
        <w:t>注：本表反映单位本年度一般公共预算财政拨款、政府性基金预算财政拨款和国有资本经营预算财政拨款的总收支和年末结转结余情况。</w:t>
      </w:r>
    </w:p>
    <w:p w14:paraId="03EDDD2C">
      <w:pPr>
        <w:pStyle w:val="31"/>
        <w:widowControl/>
        <w:spacing w:before="240" w:after="240"/>
        <w:ind w:left="720" w:hanging="720"/>
        <w:jc w:val="left"/>
        <w:rPr>
          <w:rFonts w:ascii="Times New Roman" w:hAnsi="Times New Roman" w:eastAsia="Times New Roman" w:cs="Times New Roman"/>
          <w:kern w:val="0"/>
          <w:sz w:val="24"/>
        </w:rPr>
      </w:pPr>
      <w:r>
        <w:rPr>
          <w:rFonts w:ascii="黑体" w:hAnsi="黑体" w:eastAsia="黑体" w:cs="黑体"/>
          <w:kern w:val="0"/>
          <w:sz w:val="32"/>
          <w:szCs w:val="32"/>
        </w:rPr>
        <w:t>五、一般公共预算财政拨款支出决算表</w:t>
      </w:r>
    </w:p>
    <w:p w14:paraId="70DF5E0D"/>
    <w:p w14:paraId="4DF308E4">
      <w:pPr>
        <w:rPr>
          <w:rFonts w:ascii="Times New Roman" w:hAnsi="Times New Roman" w:eastAsia="Times New Roman" w:cs="Times New Roman"/>
          <w:kern w:val="0"/>
          <w:sz w:val="24"/>
        </w:rPr>
      </w:pPr>
      <w:r>
        <w:drawing>
          <wp:anchor distT="0" distB="0" distL="114300" distR="114300" simplePos="0" relativeHeight="251662336" behindDoc="0" locked="0" layoutInCell="1" allowOverlap="1">
            <wp:simplePos x="0" y="0"/>
            <wp:positionH relativeFrom="column">
              <wp:posOffset>686435</wp:posOffset>
            </wp:positionH>
            <wp:positionV relativeFrom="paragraph">
              <wp:posOffset>0</wp:posOffset>
            </wp:positionV>
            <wp:extent cx="8115300" cy="4716780"/>
            <wp:effectExtent l="0" t="0" r="7620" b="762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8115300" cy="4716780"/>
                    </a:xfrm>
                    <a:prstGeom prst="rect">
                      <a:avLst/>
                    </a:prstGeom>
                    <a:noFill/>
                    <a:ln>
                      <a:noFill/>
                    </a:ln>
                  </pic:spPr>
                </pic:pic>
              </a:graphicData>
            </a:graphic>
          </wp:anchor>
        </w:drawing>
      </w:r>
      <w:r>
        <w:rPr>
          <w:rFonts w:ascii="宋体" w:hAnsi="宋体" w:cs="宋体"/>
          <w:kern w:val="0"/>
          <w:sz w:val="24"/>
        </w:rPr>
        <w:t>注：本表反映单位本年度一般公共预算财政拨款支出情况。</w:t>
      </w:r>
    </w:p>
    <w:p w14:paraId="2004AE3E">
      <w:pPr>
        <w:pStyle w:val="32"/>
        <w:keepNext w:val="0"/>
        <w:keepLines w:val="0"/>
        <w:pageBreakBefore w:val="0"/>
        <w:widowControl/>
        <w:kinsoku/>
        <w:wordWrap/>
        <w:overflowPunct/>
        <w:topLinePunct w:val="0"/>
        <w:autoSpaceDE/>
        <w:autoSpaceDN/>
        <w:bidi w:val="0"/>
        <w:adjustRightInd/>
        <w:snapToGrid/>
        <w:spacing w:before="240" w:after="80"/>
        <w:jc w:val="left"/>
        <w:textAlignment w:val="auto"/>
        <w:rPr>
          <w:rFonts w:ascii="Times New Roman" w:hAnsi="Times New Roman" w:eastAsia="Times New Roman" w:cs="Times New Roman"/>
          <w:kern w:val="0"/>
          <w:sz w:val="24"/>
        </w:rPr>
      </w:pPr>
      <w:r>
        <w:rPr>
          <w:rFonts w:ascii="宋体" w:hAnsi="宋体" w:cs="宋体"/>
          <w:kern w:val="0"/>
          <w:sz w:val="24"/>
        </w:rPr>
        <w:t> </w:t>
      </w:r>
      <w:r>
        <w:rPr>
          <w:rFonts w:ascii="黑体" w:hAnsi="黑体" w:eastAsia="黑体" w:cs="黑体"/>
          <w:kern w:val="0"/>
          <w:sz w:val="32"/>
          <w:szCs w:val="32"/>
        </w:rPr>
        <w:t>六、一般公共预算财政拨款基本支出决算表</w:t>
      </w:r>
    </w:p>
    <w:p w14:paraId="232D22D0">
      <w:r>
        <w:drawing>
          <wp:anchor distT="0" distB="0" distL="114300" distR="114300" simplePos="0" relativeHeight="251663360" behindDoc="0" locked="0" layoutInCell="1" allowOverlap="1">
            <wp:simplePos x="0" y="0"/>
            <wp:positionH relativeFrom="column">
              <wp:posOffset>67310</wp:posOffset>
            </wp:positionH>
            <wp:positionV relativeFrom="paragraph">
              <wp:posOffset>197485</wp:posOffset>
            </wp:positionV>
            <wp:extent cx="9354185" cy="4896485"/>
            <wp:effectExtent l="0" t="0" r="3175" b="10795"/>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9354185" cy="4896485"/>
                    </a:xfrm>
                    <a:prstGeom prst="rect">
                      <a:avLst/>
                    </a:prstGeom>
                    <a:noFill/>
                    <a:ln>
                      <a:noFill/>
                    </a:ln>
                  </pic:spPr>
                </pic:pic>
              </a:graphicData>
            </a:graphic>
          </wp:anchor>
        </w:drawing>
      </w:r>
      <w:r>
        <w:rPr>
          <w:rFonts w:ascii="宋体" w:hAnsi="宋体" w:cs="宋体"/>
          <w:kern w:val="0"/>
          <w:sz w:val="24"/>
        </w:rPr>
        <w:t>注：本表反映单位本年度一般公共预算财政拨款基本支出明细情况。</w:t>
      </w:r>
    </w:p>
    <w:p w14:paraId="35BF25F8">
      <w:pPr>
        <w:sectPr>
          <w:pgSz w:w="16383" w:h="11906" w:orient="landscape"/>
          <w:pgMar w:top="1440" w:right="720" w:bottom="1440" w:left="720" w:header="720" w:footer="720" w:gutter="0"/>
          <w:pgNumType w:fmt="decimal"/>
          <w:cols w:space="720" w:num="1"/>
        </w:sectPr>
      </w:pPr>
    </w:p>
    <w:p w14:paraId="588BFED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p w14:paraId="555C6843">
      <w:pPr>
        <w:pStyle w:val="32"/>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黑体" w:hAnsi="黑体" w:eastAsia="黑体" w:cs="黑体"/>
          <w:kern w:val="0"/>
          <w:sz w:val="32"/>
          <w:szCs w:val="32"/>
        </w:rPr>
        <w:t>七、一般公共预算财政拨款“三公”经费支出决算表</w:t>
      </w:r>
    </w:p>
    <w:p w14:paraId="2C8D831A">
      <w:r>
        <w:drawing>
          <wp:anchor distT="0" distB="0" distL="114300" distR="114300" simplePos="0" relativeHeight="251664384" behindDoc="0" locked="0" layoutInCell="1" allowOverlap="1">
            <wp:simplePos x="0" y="0"/>
            <wp:positionH relativeFrom="column">
              <wp:posOffset>222250</wp:posOffset>
            </wp:positionH>
            <wp:positionV relativeFrom="paragraph">
              <wp:posOffset>153035</wp:posOffset>
            </wp:positionV>
            <wp:extent cx="8587105" cy="2606040"/>
            <wp:effectExtent l="0" t="0" r="8255"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8587105" cy="2606040"/>
                    </a:xfrm>
                    <a:prstGeom prst="rect">
                      <a:avLst/>
                    </a:prstGeom>
                    <a:noFill/>
                    <a:ln>
                      <a:noFill/>
                    </a:ln>
                  </pic:spPr>
                </pic:pic>
              </a:graphicData>
            </a:graphic>
          </wp:anchor>
        </w:drawing>
      </w:r>
    </w:p>
    <w:p w14:paraId="318A811A">
      <w:pPr>
        <w:sectPr>
          <w:pgSz w:w="16383" w:h="11906" w:orient="landscape"/>
          <w:pgMar w:top="1440" w:right="720" w:bottom="1440" w:left="720" w:header="720" w:footer="720" w:gutter="0"/>
          <w:pgNumType w:fmt="decimal"/>
          <w:cols w:space="720" w:num="1"/>
        </w:sectPr>
      </w:pPr>
      <w:r>
        <w:rPr>
          <w:rFonts w:ascii="宋体" w:hAnsi="宋体" w:cs="宋体"/>
          <w:kern w:val="0"/>
          <w:sz w:val="24"/>
        </w:rPr>
        <w:t>注：本表反映单位本年度“三公”经费支出决算情况，包括当年一般公共预算财政拨款和以前年度结转资金安排的实际支出。</w:t>
      </w:r>
    </w:p>
    <w:p w14:paraId="2BD68293">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p w14:paraId="2DDE8C4B">
      <w:pPr>
        <w:pStyle w:val="28"/>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r>
        <w:rPr>
          <w:rFonts w:ascii="黑体" w:hAnsi="黑体" w:eastAsia="黑体" w:cs="黑体"/>
          <w:kern w:val="0"/>
          <w:sz w:val="32"/>
          <w:szCs w:val="32"/>
        </w:rPr>
        <w:t>八、政府性基金预算财政拨款收入支出决算表</w:t>
      </w:r>
    </w:p>
    <w:p w14:paraId="32A5217D"/>
    <w:p w14:paraId="79539380">
      <w:pPr>
        <w:pStyle w:val="32"/>
        <w:widowControl/>
        <w:spacing w:before="240" w:after="240"/>
        <w:jc w:val="left"/>
        <w:rPr>
          <w:rFonts w:ascii="Times New Roman" w:hAnsi="Times New Roman" w:eastAsia="Times New Roman" w:cs="Times New Roman"/>
          <w:kern w:val="0"/>
          <w:sz w:val="24"/>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258445</wp:posOffset>
            </wp:positionV>
            <wp:extent cx="9483090" cy="1744345"/>
            <wp:effectExtent l="0" t="0" r="11430" b="8255"/>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a:stretch>
                      <a:fillRect/>
                    </a:stretch>
                  </pic:blipFill>
                  <pic:spPr>
                    <a:xfrm>
                      <a:off x="0" y="0"/>
                      <a:ext cx="9483090" cy="1744345"/>
                    </a:xfrm>
                    <a:prstGeom prst="rect">
                      <a:avLst/>
                    </a:prstGeom>
                    <a:noFill/>
                    <a:ln>
                      <a:noFill/>
                    </a:ln>
                  </pic:spPr>
                </pic:pic>
              </a:graphicData>
            </a:graphic>
          </wp:anchor>
        </w:drawing>
      </w:r>
      <w:r>
        <w:rPr>
          <w:rFonts w:ascii="宋体" w:hAnsi="宋体" w:cs="宋体"/>
          <w:kern w:val="0"/>
          <w:sz w:val="24"/>
        </w:rPr>
        <w:t>注：</w:t>
      </w:r>
      <w:r>
        <w:rPr>
          <w:rFonts w:eastAsia="Times New Roman"/>
          <w:kern w:val="0"/>
          <w:sz w:val="24"/>
        </w:rPr>
        <w:t>1.</w:t>
      </w:r>
      <w:r>
        <w:rPr>
          <w:rFonts w:ascii="Times New Roman" w:hAnsi="Times New Roman" w:eastAsia="Times New Roman" w:cs="Times New Roman"/>
          <w:kern w:val="0"/>
          <w:sz w:val="24"/>
        </w:rPr>
        <w:t> </w:t>
      </w:r>
      <w:r>
        <w:rPr>
          <w:rFonts w:ascii="宋体" w:hAnsi="宋体" w:cs="宋体"/>
          <w:kern w:val="0"/>
          <w:sz w:val="24"/>
        </w:rPr>
        <w:t>本表反映单位本年度政府性基金预算财政拨款收入、支出及结转和结余情况。</w:t>
      </w:r>
    </w:p>
    <w:p w14:paraId="4E084C2F">
      <w:pPr>
        <w:ind w:firstLine="480" w:firstLineChars="200"/>
        <w:sectPr>
          <w:pgSz w:w="16383" w:h="11906" w:orient="landscape"/>
          <w:pgMar w:top="1440" w:right="720" w:bottom="1440" w:left="720" w:header="720" w:footer="720" w:gutter="0"/>
          <w:pgNumType w:fmt="decimal"/>
          <w:cols w:space="720" w:num="1"/>
        </w:sectPr>
      </w:pPr>
      <w:r>
        <w:rPr>
          <w:rFonts w:eastAsia="Times New Roman"/>
          <w:kern w:val="0"/>
          <w:sz w:val="24"/>
        </w:rPr>
        <w:t>2. </w:t>
      </w:r>
      <w:r>
        <w:rPr>
          <w:rFonts w:ascii="宋体" w:hAnsi="宋体" w:cs="宋体"/>
          <w:kern w:val="0"/>
          <w:sz w:val="24"/>
        </w:rPr>
        <w:t>本单位</w:t>
      </w:r>
      <w:r>
        <w:rPr>
          <w:rFonts w:ascii="Times New Roman" w:hAnsi="Times New Roman" w:eastAsia="Times New Roman" w:cs="Times New Roman"/>
          <w:kern w:val="0"/>
          <w:sz w:val="24"/>
        </w:rPr>
        <w:t>2023</w:t>
      </w:r>
      <w:r>
        <w:rPr>
          <w:rFonts w:ascii="宋体" w:hAnsi="宋体" w:cs="宋体"/>
          <w:kern w:val="0"/>
          <w:sz w:val="24"/>
        </w:rPr>
        <w:t>年度没有使用政府性基金预算拨款安排的收支。</w:t>
      </w:r>
    </w:p>
    <w:p w14:paraId="1D15380B">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p w14:paraId="7A1C71F4">
      <w:pPr>
        <w:pStyle w:val="28"/>
        <w:widowControl/>
        <w:spacing w:before="240" w:after="240"/>
        <w:jc w:val="left"/>
        <w:rPr>
          <w:rFonts w:ascii="Times New Roman" w:hAnsi="Times New Roman" w:eastAsia="Times New Roman" w:cs="Times New Roman"/>
          <w:kern w:val="0"/>
          <w:sz w:val="24"/>
        </w:rPr>
      </w:pPr>
      <w:r>
        <w:rPr>
          <w:rFonts w:ascii="宋体" w:hAnsi="宋体" w:cs="宋体"/>
          <w:spacing w:val="0"/>
          <w:kern w:val="0"/>
          <w:sz w:val="32"/>
          <w:szCs w:val="32"/>
        </w:rPr>
        <w:t>  </w:t>
      </w:r>
      <w:r>
        <w:rPr>
          <w:rFonts w:ascii="黑体" w:hAnsi="黑体" w:eastAsia="黑体" w:cs="黑体"/>
          <w:kern w:val="0"/>
          <w:sz w:val="32"/>
          <w:szCs w:val="32"/>
        </w:rPr>
        <w:t>九、国有资本经营预算财政拨款支出决算表</w:t>
      </w:r>
    </w:p>
    <w:p w14:paraId="5E2A33A1"/>
    <w:p w14:paraId="5BA93150">
      <w:pPr>
        <w:pStyle w:val="28"/>
        <w:widowControl/>
        <w:spacing w:before="240" w:after="240"/>
        <w:ind w:firstLine="210" w:firstLineChars="100"/>
        <w:jc w:val="left"/>
        <w:rPr>
          <w:rFonts w:ascii="Times New Roman" w:hAnsi="Times New Roman" w:eastAsia="Times New Roman" w:cs="Times New Roman"/>
          <w:kern w:val="0"/>
          <w:sz w:val="24"/>
        </w:rPr>
      </w:pPr>
      <w:r>
        <w:drawing>
          <wp:anchor distT="0" distB="0" distL="114300" distR="114300" simplePos="0" relativeHeight="251666432" behindDoc="0" locked="0" layoutInCell="1" allowOverlap="1">
            <wp:simplePos x="0" y="0"/>
            <wp:positionH relativeFrom="column">
              <wp:posOffset>568960</wp:posOffset>
            </wp:positionH>
            <wp:positionV relativeFrom="paragraph">
              <wp:posOffset>205105</wp:posOffset>
            </wp:positionV>
            <wp:extent cx="8351520" cy="195072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8351520" cy="1950720"/>
                    </a:xfrm>
                    <a:prstGeom prst="rect">
                      <a:avLst/>
                    </a:prstGeom>
                    <a:noFill/>
                    <a:ln>
                      <a:noFill/>
                    </a:ln>
                  </pic:spPr>
                </pic:pic>
              </a:graphicData>
            </a:graphic>
          </wp:anchor>
        </w:drawing>
      </w:r>
      <w:r>
        <w:rPr>
          <w:rFonts w:ascii="宋体" w:hAnsi="宋体" w:cs="宋体"/>
          <w:kern w:val="0"/>
          <w:sz w:val="24"/>
        </w:rPr>
        <w:t>注：1.本表反映单位本年度国有资本经营预算财政拨款支出情况。</w:t>
      </w:r>
    </w:p>
    <w:p w14:paraId="5EBD9CA2">
      <w:pPr>
        <w:sectPr>
          <w:pgSz w:w="16383" w:h="11906" w:orient="landscape"/>
          <w:pgMar w:top="1440" w:right="720" w:bottom="1440" w:left="720" w:header="720" w:footer="720" w:gutter="0"/>
          <w:pgNumType w:fmt="decimal"/>
          <w:cols w:space="720" w:num="1"/>
        </w:sectPr>
      </w:pPr>
      <w:r>
        <w:rPr>
          <w:rFonts w:ascii="宋体" w:hAnsi="宋体" w:cs="宋体"/>
          <w:kern w:val="0"/>
          <w:sz w:val="24"/>
        </w:rPr>
        <w:t>   </w:t>
      </w:r>
      <w:r>
        <w:rPr>
          <w:rFonts w:hint="eastAsia" w:ascii="宋体" w:hAnsi="宋体" w:cs="宋体"/>
          <w:kern w:val="0"/>
          <w:sz w:val="24"/>
          <w:lang w:val="en-US" w:eastAsia="zh-CN"/>
        </w:rPr>
        <w:t xml:space="preserve"> </w:t>
      </w:r>
      <w:r>
        <w:rPr>
          <w:rFonts w:ascii="宋体" w:hAnsi="宋体" w:cs="宋体"/>
          <w:kern w:val="0"/>
          <w:sz w:val="24"/>
        </w:rPr>
        <w:t>2.本单位2023年度没有使用国有资本经营预算财政拨款安排的支出。</w:t>
      </w:r>
    </w:p>
    <w:p w14:paraId="34AD5268">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p w14:paraId="69B7B310">
      <w:pPr>
        <w:pStyle w:val="32"/>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4B378252">
      <w:pPr>
        <w:pStyle w:val="29"/>
        <w:widowControl/>
        <w:spacing w:before="240" w:after="240"/>
        <w:jc w:val="left"/>
        <w:rPr>
          <w:rFonts w:ascii="黑体" w:hAnsi="黑体" w:eastAsia="黑体" w:cs="黑体"/>
          <w:kern w:val="0"/>
          <w:sz w:val="56"/>
          <w:szCs w:val="56"/>
        </w:rPr>
      </w:pPr>
    </w:p>
    <w:p w14:paraId="1D7D3B3F">
      <w:pPr>
        <w:pStyle w:val="29"/>
        <w:widowControl/>
        <w:spacing w:before="240" w:after="240"/>
        <w:jc w:val="left"/>
        <w:rPr>
          <w:rFonts w:ascii="黑体" w:hAnsi="黑体" w:eastAsia="黑体" w:cs="黑体"/>
          <w:kern w:val="0"/>
          <w:sz w:val="56"/>
          <w:szCs w:val="56"/>
        </w:rPr>
      </w:pPr>
    </w:p>
    <w:p w14:paraId="160FD79C">
      <w:pPr>
        <w:pStyle w:val="29"/>
        <w:widowControl/>
        <w:spacing w:before="240" w:after="240"/>
        <w:jc w:val="left"/>
        <w:rPr>
          <w:rFonts w:ascii="黑体" w:hAnsi="黑体" w:eastAsia="黑体" w:cs="黑体"/>
          <w:kern w:val="0"/>
          <w:sz w:val="56"/>
          <w:szCs w:val="56"/>
        </w:rPr>
      </w:pPr>
    </w:p>
    <w:p w14:paraId="404818B7">
      <w:pPr>
        <w:pStyle w:val="29"/>
        <w:widowControl/>
        <w:spacing w:before="240" w:after="240"/>
        <w:jc w:val="left"/>
        <w:rPr>
          <w:rFonts w:ascii="黑体" w:hAnsi="黑体" w:eastAsia="黑体" w:cs="黑体"/>
          <w:kern w:val="0"/>
          <w:sz w:val="56"/>
          <w:szCs w:val="56"/>
        </w:rPr>
      </w:pPr>
    </w:p>
    <w:p w14:paraId="7215A310">
      <w:pPr>
        <w:pStyle w:val="29"/>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第三部分</w:t>
      </w:r>
    </w:p>
    <w:p w14:paraId="7F9181B1">
      <w:pPr>
        <w:pStyle w:val="28"/>
        <w:widowControl/>
        <w:spacing w:before="240" w:after="240" w:line="600" w:lineRule="atLeast"/>
        <w:jc w:val="center"/>
        <w:rPr>
          <w:rFonts w:ascii="Times New Roman" w:hAnsi="Times New Roman" w:eastAsia="Times New Roman" w:cs="Times New Roman"/>
          <w:kern w:val="0"/>
          <w:sz w:val="24"/>
        </w:rPr>
      </w:pPr>
      <w:r>
        <w:rPr>
          <w:rFonts w:hint="eastAsia" w:ascii="黑体" w:hAnsi="黑体" w:eastAsia="黑体" w:cs="黑体"/>
          <w:kern w:val="0"/>
          <w:sz w:val="56"/>
          <w:szCs w:val="56"/>
          <w:lang w:val="en-US" w:eastAsia="zh-CN"/>
        </w:rPr>
        <w:t>2023</w:t>
      </w:r>
      <w:r>
        <w:rPr>
          <w:rFonts w:ascii="黑体" w:hAnsi="黑体" w:eastAsia="黑体" w:cs="黑体"/>
          <w:kern w:val="0"/>
          <w:sz w:val="56"/>
          <w:szCs w:val="56"/>
        </w:rPr>
        <w:t>年度决算情况说明</w:t>
      </w:r>
    </w:p>
    <w:p w14:paraId="5328142D">
      <w:pPr>
        <w:pStyle w:val="28"/>
        <w:widowControl/>
        <w:spacing w:before="240" w:after="240" w:line="600" w:lineRule="atLeast"/>
        <w:jc w:val="center"/>
        <w:rPr>
          <w:rFonts w:ascii="Times New Roman" w:hAnsi="Times New Roman" w:eastAsia="Times New Roman" w:cs="Times New Roman"/>
          <w:kern w:val="0"/>
          <w:sz w:val="24"/>
        </w:rPr>
      </w:pPr>
      <w:r>
        <w:rPr>
          <w:rFonts w:ascii="黑体" w:hAnsi="黑体" w:eastAsia="黑体" w:cs="黑体"/>
          <w:kern w:val="0"/>
          <w:sz w:val="36"/>
          <w:szCs w:val="36"/>
        </w:rPr>
        <w:t> </w:t>
      </w:r>
    </w:p>
    <w:p w14:paraId="6CBDCC18">
      <w:pPr>
        <w:pStyle w:val="28"/>
        <w:widowControl/>
        <w:spacing w:before="240" w:after="240" w:line="600" w:lineRule="atLeast"/>
        <w:ind w:firstLine="640"/>
        <w:jc w:val="left"/>
        <w:rPr>
          <w:rFonts w:ascii="黑体" w:hAnsi="黑体" w:eastAsia="黑体" w:cs="黑体"/>
          <w:kern w:val="0"/>
          <w:sz w:val="32"/>
          <w:szCs w:val="32"/>
        </w:rPr>
      </w:pPr>
    </w:p>
    <w:p w14:paraId="68E35C9E">
      <w:pPr>
        <w:pStyle w:val="28"/>
        <w:widowControl/>
        <w:spacing w:before="240" w:after="240" w:line="600" w:lineRule="atLeast"/>
        <w:ind w:firstLine="640"/>
        <w:jc w:val="left"/>
        <w:rPr>
          <w:rFonts w:ascii="黑体" w:hAnsi="黑体" w:eastAsia="黑体" w:cs="黑体"/>
          <w:kern w:val="0"/>
          <w:sz w:val="32"/>
          <w:szCs w:val="32"/>
        </w:rPr>
      </w:pPr>
    </w:p>
    <w:p w14:paraId="6EC73916">
      <w:pPr>
        <w:pStyle w:val="28"/>
        <w:widowControl/>
        <w:spacing w:before="240" w:after="240" w:line="600" w:lineRule="atLeast"/>
        <w:ind w:firstLine="640"/>
        <w:jc w:val="left"/>
        <w:rPr>
          <w:rFonts w:ascii="黑体" w:hAnsi="黑体" w:eastAsia="黑体" w:cs="黑体"/>
          <w:kern w:val="0"/>
          <w:sz w:val="32"/>
          <w:szCs w:val="32"/>
        </w:rPr>
      </w:pPr>
    </w:p>
    <w:p w14:paraId="46ABC2AE">
      <w:pPr>
        <w:pStyle w:val="28"/>
        <w:widowControl/>
        <w:spacing w:before="240" w:after="240" w:line="600" w:lineRule="atLeast"/>
        <w:ind w:firstLine="640"/>
        <w:jc w:val="left"/>
        <w:rPr>
          <w:rFonts w:ascii="黑体" w:hAnsi="黑体" w:eastAsia="黑体" w:cs="黑体"/>
          <w:kern w:val="0"/>
          <w:sz w:val="32"/>
          <w:szCs w:val="32"/>
        </w:rPr>
      </w:pPr>
    </w:p>
    <w:p w14:paraId="36C6BDA1">
      <w:pPr>
        <w:pStyle w:val="28"/>
        <w:widowControl/>
        <w:spacing w:before="240" w:after="240" w:line="600" w:lineRule="atLeast"/>
        <w:ind w:firstLine="640"/>
        <w:jc w:val="left"/>
        <w:rPr>
          <w:rFonts w:ascii="黑体" w:hAnsi="黑体" w:eastAsia="黑体" w:cs="黑体"/>
          <w:kern w:val="0"/>
          <w:sz w:val="32"/>
          <w:szCs w:val="32"/>
        </w:rPr>
      </w:pPr>
    </w:p>
    <w:p w14:paraId="5CAF8276">
      <w:pPr>
        <w:pStyle w:val="28"/>
        <w:widowControl/>
        <w:spacing w:before="240" w:after="240" w:line="600" w:lineRule="atLeast"/>
        <w:ind w:firstLine="640"/>
        <w:jc w:val="left"/>
        <w:rPr>
          <w:rFonts w:ascii="黑体" w:hAnsi="黑体" w:eastAsia="黑体" w:cs="黑体"/>
          <w:kern w:val="0"/>
          <w:sz w:val="32"/>
          <w:szCs w:val="32"/>
        </w:rPr>
      </w:pPr>
    </w:p>
    <w:p w14:paraId="5E2C8BC4">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一、收入支出决算总体情况说明</w:t>
      </w:r>
    </w:p>
    <w:p w14:paraId="7653CA0A">
      <w:pPr>
        <w:pStyle w:val="28"/>
        <w:widowControl/>
        <w:spacing w:before="240" w:after="240" w:line="600" w:lineRule="atLeast"/>
        <w:ind w:firstLine="640"/>
        <w:jc w:val="left"/>
        <w:rPr>
          <w:rFonts w:ascii="Times New Roman" w:hAnsi="Times New Roman" w:eastAsia="Times New Roman" w:cs="Times New Roman"/>
          <w:kern w:val="0"/>
          <w:sz w:val="24"/>
        </w:rPr>
      </w:pPr>
      <w:r>
        <w:rPr>
          <w:rFonts w:ascii="楷体_GB2312" w:hAnsi="楷体_GB2312" w:eastAsia="楷体_GB2312" w:cs="楷体_GB2312"/>
          <w:kern w:val="0"/>
          <w:sz w:val="32"/>
          <w:szCs w:val="32"/>
        </w:rPr>
        <w:t>（一）收入支出决算总体情况说明</w:t>
      </w:r>
    </w:p>
    <w:p w14:paraId="6281A3B4">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default" w:ascii="Times New Roman" w:hAnsi="Times New Roman" w:eastAsia="仿宋" w:cs="Times New Roman"/>
          <w:spacing w:val="0"/>
          <w:kern w:val="0"/>
          <w:sz w:val="32"/>
          <w:szCs w:val="32"/>
        </w:rPr>
        <w:t>2023年度本单位收入总计</w:t>
      </w:r>
      <w:r>
        <w:rPr>
          <w:rFonts w:hint="eastAsia" w:ascii="Times New Roman" w:hAnsi="Times New Roman" w:eastAsia="仿宋" w:cs="Times New Roman"/>
          <w:spacing w:val="0"/>
          <w:kern w:val="0"/>
          <w:sz w:val="32"/>
          <w:szCs w:val="32"/>
          <w:lang w:val="en-US" w:eastAsia="zh-CN"/>
        </w:rPr>
        <w:t>13489.45</w:t>
      </w:r>
      <w:r>
        <w:rPr>
          <w:rFonts w:hint="default" w:ascii="Times New Roman" w:hAnsi="Times New Roman" w:eastAsia="仿宋" w:cs="Times New Roman"/>
          <w:spacing w:val="0"/>
          <w:kern w:val="0"/>
          <w:sz w:val="32"/>
          <w:szCs w:val="32"/>
        </w:rPr>
        <w:t>万元，支出总计</w:t>
      </w:r>
      <w:r>
        <w:rPr>
          <w:rFonts w:hint="eastAsia" w:ascii="Times New Roman" w:hAnsi="Times New Roman" w:eastAsia="仿宋" w:cs="Times New Roman"/>
          <w:spacing w:val="0"/>
          <w:kern w:val="0"/>
          <w:sz w:val="32"/>
          <w:szCs w:val="32"/>
          <w:lang w:val="en-US" w:eastAsia="zh-CN"/>
        </w:rPr>
        <w:t>13489.45</w:t>
      </w:r>
      <w:r>
        <w:rPr>
          <w:rFonts w:hint="default" w:ascii="Times New Roman" w:hAnsi="Times New Roman" w:eastAsia="仿宋" w:cs="Times New Roman"/>
          <w:spacing w:val="0"/>
          <w:kern w:val="0"/>
          <w:sz w:val="32"/>
          <w:szCs w:val="32"/>
        </w:rPr>
        <w:t>万元，与上年决算数相比，各增加</w:t>
      </w:r>
      <w:r>
        <w:rPr>
          <w:rFonts w:hint="eastAsia" w:ascii="Times New Roman" w:hAnsi="Times New Roman" w:eastAsia="仿宋" w:cs="Times New Roman"/>
          <w:spacing w:val="0"/>
          <w:kern w:val="0"/>
          <w:sz w:val="32"/>
          <w:szCs w:val="32"/>
          <w:lang w:val="en-US" w:eastAsia="zh-CN"/>
        </w:rPr>
        <w:t>5035.06</w:t>
      </w:r>
      <w:r>
        <w:rPr>
          <w:rFonts w:hint="default" w:ascii="Times New Roman" w:hAnsi="Times New Roman" w:eastAsia="仿宋" w:cs="Times New Roman"/>
          <w:spacing w:val="0"/>
          <w:kern w:val="0"/>
          <w:sz w:val="32"/>
          <w:szCs w:val="32"/>
        </w:rPr>
        <w:t>万元，增长</w:t>
      </w:r>
      <w:r>
        <w:rPr>
          <w:rFonts w:hint="eastAsia" w:ascii="Times New Roman" w:hAnsi="Times New Roman" w:eastAsia="仿宋" w:cs="Times New Roman"/>
          <w:spacing w:val="0"/>
          <w:kern w:val="0"/>
          <w:sz w:val="32"/>
          <w:szCs w:val="32"/>
          <w:lang w:val="en-US" w:eastAsia="zh-CN"/>
        </w:rPr>
        <w:t>59.55</w:t>
      </w:r>
      <w:r>
        <w:rPr>
          <w:rFonts w:hint="default" w:ascii="Times New Roman" w:hAnsi="Times New Roman" w:eastAsia="仿宋" w:cs="Times New Roman"/>
          <w:spacing w:val="0"/>
          <w:kern w:val="0"/>
          <w:sz w:val="32"/>
          <w:szCs w:val="32"/>
        </w:rPr>
        <w:t>%。主要是</w:t>
      </w:r>
      <w:r>
        <w:rPr>
          <w:rFonts w:hint="eastAsia" w:ascii="Times New Roman" w:hAnsi="Times New Roman" w:eastAsia="仿宋" w:cs="Times New Roman"/>
          <w:spacing w:val="0"/>
          <w:kern w:val="0"/>
          <w:sz w:val="32"/>
          <w:szCs w:val="32"/>
          <w:lang w:val="en-US" w:eastAsia="zh-CN"/>
        </w:rPr>
        <w:t>一般公共预算拨款收入增加</w:t>
      </w:r>
      <w:r>
        <w:rPr>
          <w:rFonts w:hint="default" w:ascii="Times New Roman" w:hAnsi="Times New Roman" w:eastAsia="仿宋" w:cs="Times New Roman"/>
          <w:spacing w:val="0"/>
          <w:kern w:val="0"/>
          <w:sz w:val="32"/>
          <w:szCs w:val="32"/>
        </w:rPr>
        <w:t>。</w:t>
      </w:r>
    </w:p>
    <w:p w14:paraId="242615DD">
      <w:pPr>
        <w:pStyle w:val="28"/>
        <w:widowControl/>
        <w:spacing w:before="240" w:after="240" w:line="600" w:lineRule="atLeast"/>
        <w:ind w:firstLine="640"/>
        <w:jc w:val="left"/>
        <w:rPr>
          <w:rFonts w:ascii="Times New Roman" w:hAnsi="Times New Roman" w:eastAsia="Times New Roman" w:cs="Times New Roman"/>
          <w:kern w:val="0"/>
          <w:sz w:val="24"/>
        </w:rPr>
      </w:pPr>
      <w:r>
        <w:rPr>
          <w:rFonts w:ascii="楷体_GB2312" w:hAnsi="楷体_GB2312" w:eastAsia="楷体_GB2312" w:cs="楷体_GB2312"/>
          <w:kern w:val="0"/>
          <w:sz w:val="32"/>
          <w:szCs w:val="32"/>
        </w:rPr>
        <w:t>（二）收入决算情况说明</w:t>
      </w:r>
    </w:p>
    <w:p w14:paraId="05A463F4">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default" w:ascii="Times New Roman" w:hAnsi="Times New Roman" w:eastAsia="仿宋" w:cs="Times New Roman"/>
          <w:spacing w:val="0"/>
          <w:kern w:val="0"/>
          <w:sz w:val="32"/>
          <w:szCs w:val="32"/>
        </w:rPr>
        <w:t>2023年度收入</w:t>
      </w:r>
      <w:r>
        <w:rPr>
          <w:rFonts w:hint="eastAsia" w:ascii="Times New Roman" w:hAnsi="Times New Roman" w:eastAsia="仿宋" w:cs="Times New Roman"/>
          <w:spacing w:val="0"/>
          <w:kern w:val="0"/>
          <w:sz w:val="32"/>
          <w:szCs w:val="32"/>
          <w:lang w:val="en-US" w:eastAsia="zh-CN"/>
        </w:rPr>
        <w:t>12207.36</w:t>
      </w:r>
      <w:r>
        <w:rPr>
          <w:rFonts w:hint="default" w:ascii="Times New Roman" w:hAnsi="Times New Roman" w:eastAsia="仿宋" w:cs="Times New Roman"/>
          <w:spacing w:val="0"/>
          <w:kern w:val="0"/>
          <w:sz w:val="32"/>
          <w:szCs w:val="32"/>
        </w:rPr>
        <w:t>万元，比上年决算数增加</w:t>
      </w:r>
      <w:r>
        <w:rPr>
          <w:rFonts w:hint="eastAsia" w:ascii="Times New Roman" w:hAnsi="Times New Roman" w:eastAsia="仿宋" w:cs="Times New Roman"/>
          <w:spacing w:val="0"/>
          <w:kern w:val="0"/>
          <w:sz w:val="32"/>
          <w:szCs w:val="32"/>
          <w:lang w:val="en-US" w:eastAsia="zh-CN"/>
        </w:rPr>
        <w:t>4961.1</w:t>
      </w:r>
      <w:r>
        <w:rPr>
          <w:rFonts w:hint="default" w:ascii="Times New Roman" w:hAnsi="Times New Roman" w:eastAsia="仿宋" w:cs="Times New Roman"/>
          <w:spacing w:val="0"/>
          <w:kern w:val="0"/>
          <w:sz w:val="32"/>
          <w:szCs w:val="32"/>
        </w:rPr>
        <w:t>万元，增长</w:t>
      </w:r>
      <w:r>
        <w:rPr>
          <w:rFonts w:hint="eastAsia" w:ascii="Times New Roman" w:hAnsi="Times New Roman" w:eastAsia="仿宋" w:cs="Times New Roman"/>
          <w:spacing w:val="0"/>
          <w:kern w:val="0"/>
          <w:sz w:val="32"/>
          <w:szCs w:val="32"/>
          <w:lang w:val="en-US" w:eastAsia="zh-CN"/>
        </w:rPr>
        <w:t>68.46</w:t>
      </w:r>
      <w:r>
        <w:rPr>
          <w:rFonts w:hint="default" w:ascii="Times New Roman" w:hAnsi="Times New Roman" w:eastAsia="仿宋" w:cs="Times New Roman"/>
          <w:spacing w:val="0"/>
          <w:kern w:val="0"/>
          <w:sz w:val="32"/>
          <w:szCs w:val="32"/>
        </w:rPr>
        <w:t>%，具体情况如下：</w:t>
      </w:r>
    </w:p>
    <w:p w14:paraId="79A5778A">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default" w:ascii="Times New Roman" w:hAnsi="Times New Roman" w:eastAsia="仿宋" w:cs="Times New Roman"/>
          <w:spacing w:val="0"/>
          <w:kern w:val="0"/>
          <w:sz w:val="32"/>
          <w:szCs w:val="32"/>
        </w:rPr>
        <w:t>1.一般公共预算财政拨款收入</w:t>
      </w:r>
      <w:r>
        <w:rPr>
          <w:rFonts w:hint="eastAsia" w:ascii="Times New Roman" w:hAnsi="Times New Roman" w:eastAsia="仿宋" w:cs="Times New Roman"/>
          <w:spacing w:val="0"/>
          <w:kern w:val="0"/>
          <w:sz w:val="32"/>
          <w:szCs w:val="32"/>
          <w:lang w:val="en-US" w:eastAsia="zh-CN"/>
        </w:rPr>
        <w:t>9204.81</w:t>
      </w:r>
      <w:r>
        <w:rPr>
          <w:rFonts w:hint="default" w:ascii="Times New Roman" w:hAnsi="Times New Roman" w:eastAsia="仿宋" w:cs="Times New Roman"/>
          <w:spacing w:val="0"/>
          <w:kern w:val="0"/>
          <w:sz w:val="32"/>
          <w:szCs w:val="32"/>
        </w:rPr>
        <w:t>万元。</w:t>
      </w:r>
    </w:p>
    <w:p w14:paraId="519FCDBB">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eastAsia" w:ascii="Times New Roman" w:hAnsi="Times New Roman" w:eastAsia="仿宋" w:cs="Times New Roman"/>
          <w:spacing w:val="0"/>
          <w:kern w:val="0"/>
          <w:sz w:val="32"/>
          <w:szCs w:val="32"/>
          <w:lang w:val="en-US" w:eastAsia="zh-CN"/>
        </w:rPr>
        <w:t>2</w:t>
      </w:r>
      <w:r>
        <w:rPr>
          <w:rFonts w:hint="default" w:ascii="Times New Roman" w:hAnsi="Times New Roman" w:eastAsia="仿宋" w:cs="Times New Roman"/>
          <w:spacing w:val="0"/>
          <w:kern w:val="0"/>
          <w:sz w:val="32"/>
          <w:szCs w:val="32"/>
        </w:rPr>
        <w:t>.事业收入</w:t>
      </w:r>
      <w:r>
        <w:rPr>
          <w:rFonts w:hint="eastAsia" w:ascii="Times New Roman" w:hAnsi="Times New Roman" w:eastAsia="仿宋" w:cs="Times New Roman"/>
          <w:spacing w:val="0"/>
          <w:kern w:val="0"/>
          <w:sz w:val="32"/>
          <w:szCs w:val="32"/>
          <w:lang w:val="en-US" w:eastAsia="zh-CN"/>
        </w:rPr>
        <w:t>2412.16</w:t>
      </w:r>
      <w:r>
        <w:rPr>
          <w:rFonts w:hint="default" w:ascii="Times New Roman" w:hAnsi="Times New Roman" w:eastAsia="仿宋" w:cs="Times New Roman"/>
          <w:spacing w:val="0"/>
          <w:kern w:val="0"/>
          <w:sz w:val="32"/>
          <w:szCs w:val="32"/>
        </w:rPr>
        <w:t>万元。</w:t>
      </w:r>
    </w:p>
    <w:p w14:paraId="3A078BA0">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eastAsia" w:eastAsia="仿宋" w:cs="Times New Roman"/>
          <w:spacing w:val="0"/>
          <w:kern w:val="0"/>
          <w:sz w:val="32"/>
          <w:szCs w:val="32"/>
          <w:lang w:val="en-US" w:eastAsia="zh-CN"/>
        </w:rPr>
        <w:t>3</w:t>
      </w:r>
      <w:r>
        <w:rPr>
          <w:rFonts w:hint="default" w:ascii="Times New Roman" w:hAnsi="Times New Roman" w:eastAsia="仿宋" w:cs="Times New Roman"/>
          <w:spacing w:val="0"/>
          <w:kern w:val="0"/>
          <w:sz w:val="32"/>
          <w:szCs w:val="32"/>
        </w:rPr>
        <w:t>.经营收入</w:t>
      </w:r>
      <w:r>
        <w:rPr>
          <w:rFonts w:hint="eastAsia" w:ascii="Times New Roman" w:hAnsi="Times New Roman" w:eastAsia="仿宋" w:cs="Times New Roman"/>
          <w:spacing w:val="0"/>
          <w:kern w:val="0"/>
          <w:sz w:val="32"/>
          <w:szCs w:val="32"/>
          <w:lang w:val="en-US" w:eastAsia="zh-CN"/>
        </w:rPr>
        <w:t>55</w:t>
      </w:r>
      <w:r>
        <w:rPr>
          <w:rFonts w:hint="default" w:ascii="Times New Roman" w:hAnsi="Times New Roman" w:eastAsia="仿宋" w:cs="Times New Roman"/>
          <w:spacing w:val="0"/>
          <w:kern w:val="0"/>
          <w:sz w:val="32"/>
          <w:szCs w:val="32"/>
        </w:rPr>
        <w:t>万元。</w:t>
      </w:r>
    </w:p>
    <w:p w14:paraId="736BE7C1">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eastAsia" w:ascii="Times New Roman" w:hAnsi="Times New Roman" w:eastAsia="仿宋" w:cs="Times New Roman"/>
          <w:spacing w:val="0"/>
          <w:kern w:val="0"/>
          <w:sz w:val="32"/>
          <w:szCs w:val="32"/>
          <w:lang w:val="en-US" w:eastAsia="zh-CN"/>
        </w:rPr>
        <w:t>4</w:t>
      </w:r>
      <w:r>
        <w:rPr>
          <w:rFonts w:hint="default" w:ascii="Times New Roman" w:hAnsi="Times New Roman" w:eastAsia="仿宋" w:cs="Times New Roman"/>
          <w:spacing w:val="0"/>
          <w:kern w:val="0"/>
          <w:sz w:val="32"/>
          <w:szCs w:val="32"/>
        </w:rPr>
        <w:t>.其他收入</w:t>
      </w:r>
      <w:r>
        <w:rPr>
          <w:rFonts w:hint="eastAsia" w:ascii="Times New Roman" w:hAnsi="Times New Roman" w:eastAsia="仿宋" w:cs="Times New Roman"/>
          <w:spacing w:val="0"/>
          <w:kern w:val="0"/>
          <w:sz w:val="32"/>
          <w:szCs w:val="32"/>
          <w:lang w:val="en-US" w:eastAsia="zh-CN"/>
        </w:rPr>
        <w:t>535.39</w:t>
      </w:r>
      <w:r>
        <w:rPr>
          <w:rFonts w:hint="default" w:ascii="Times New Roman" w:hAnsi="Times New Roman" w:eastAsia="仿宋" w:cs="Times New Roman"/>
          <w:spacing w:val="0"/>
          <w:kern w:val="0"/>
          <w:sz w:val="32"/>
          <w:szCs w:val="32"/>
        </w:rPr>
        <w:t>万元。</w:t>
      </w:r>
    </w:p>
    <w:p w14:paraId="6AE34F35">
      <w:pPr>
        <w:pStyle w:val="28"/>
        <w:widowControl/>
        <w:spacing w:before="240" w:after="240" w:line="600" w:lineRule="atLeast"/>
        <w:ind w:firstLine="640"/>
        <w:jc w:val="left"/>
        <w:rPr>
          <w:rFonts w:ascii="Times New Roman" w:hAnsi="Times New Roman" w:eastAsia="Times New Roman" w:cs="Times New Roman"/>
          <w:kern w:val="0"/>
          <w:sz w:val="24"/>
        </w:rPr>
      </w:pPr>
      <w:r>
        <w:rPr>
          <w:rFonts w:ascii="楷体_GB2312" w:hAnsi="楷体_GB2312" w:eastAsia="楷体_GB2312" w:cs="楷体_GB2312"/>
          <w:kern w:val="0"/>
          <w:sz w:val="32"/>
          <w:szCs w:val="32"/>
        </w:rPr>
        <w:t>（三）支出决算情况说明</w:t>
      </w:r>
    </w:p>
    <w:p w14:paraId="4FA56517">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default" w:ascii="Times New Roman" w:hAnsi="Times New Roman" w:eastAsia="仿宋" w:cs="Times New Roman"/>
          <w:spacing w:val="0"/>
          <w:kern w:val="0"/>
          <w:sz w:val="32"/>
          <w:szCs w:val="32"/>
        </w:rPr>
        <w:t>2023年度支出</w:t>
      </w:r>
      <w:r>
        <w:rPr>
          <w:rFonts w:hint="eastAsia" w:ascii="Times New Roman" w:hAnsi="Times New Roman" w:eastAsia="仿宋" w:cs="Times New Roman"/>
          <w:spacing w:val="0"/>
          <w:kern w:val="0"/>
          <w:sz w:val="32"/>
          <w:szCs w:val="32"/>
          <w:lang w:val="en-US" w:eastAsia="zh-CN"/>
        </w:rPr>
        <w:t>11792.87</w:t>
      </w:r>
      <w:r>
        <w:rPr>
          <w:rFonts w:hint="default" w:ascii="Times New Roman" w:hAnsi="Times New Roman" w:eastAsia="仿宋" w:cs="Times New Roman"/>
          <w:spacing w:val="0"/>
          <w:kern w:val="0"/>
          <w:sz w:val="32"/>
          <w:szCs w:val="32"/>
        </w:rPr>
        <w:t>万元，比上年决算数增加</w:t>
      </w:r>
      <w:r>
        <w:rPr>
          <w:rFonts w:hint="eastAsia" w:ascii="Times New Roman" w:hAnsi="Times New Roman" w:eastAsia="仿宋" w:cs="Times New Roman"/>
          <w:spacing w:val="0"/>
          <w:kern w:val="0"/>
          <w:sz w:val="32"/>
          <w:szCs w:val="32"/>
          <w:lang w:val="en-US" w:eastAsia="zh-CN"/>
        </w:rPr>
        <w:t>4409.28</w:t>
      </w:r>
      <w:r>
        <w:rPr>
          <w:rFonts w:hint="default" w:ascii="Times New Roman" w:hAnsi="Times New Roman" w:eastAsia="仿宋" w:cs="Times New Roman"/>
          <w:spacing w:val="0"/>
          <w:kern w:val="0"/>
          <w:sz w:val="32"/>
          <w:szCs w:val="32"/>
        </w:rPr>
        <w:t>万元，增长</w:t>
      </w:r>
      <w:r>
        <w:rPr>
          <w:rFonts w:hint="eastAsia" w:ascii="Times New Roman" w:hAnsi="Times New Roman" w:eastAsia="仿宋" w:cs="Times New Roman"/>
          <w:spacing w:val="0"/>
          <w:kern w:val="0"/>
          <w:sz w:val="32"/>
          <w:szCs w:val="32"/>
          <w:lang w:val="en-US" w:eastAsia="zh-CN"/>
        </w:rPr>
        <w:t>59.72</w:t>
      </w:r>
      <w:r>
        <w:rPr>
          <w:rFonts w:hint="default" w:ascii="Times New Roman" w:hAnsi="Times New Roman" w:eastAsia="仿宋" w:cs="Times New Roman"/>
          <w:spacing w:val="0"/>
          <w:kern w:val="0"/>
          <w:sz w:val="32"/>
          <w:szCs w:val="32"/>
        </w:rPr>
        <w:t>％，具体情况如下：</w:t>
      </w:r>
    </w:p>
    <w:p w14:paraId="2E26E346">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default" w:ascii="Times New Roman" w:hAnsi="Times New Roman" w:eastAsia="仿宋" w:cs="Times New Roman"/>
          <w:spacing w:val="0"/>
          <w:kern w:val="0"/>
          <w:sz w:val="32"/>
          <w:szCs w:val="32"/>
        </w:rPr>
        <w:t>1.基本支出</w:t>
      </w:r>
      <w:r>
        <w:rPr>
          <w:rFonts w:hint="eastAsia" w:ascii="Times New Roman" w:hAnsi="Times New Roman" w:eastAsia="仿宋" w:cs="Times New Roman"/>
          <w:spacing w:val="0"/>
          <w:kern w:val="0"/>
          <w:sz w:val="32"/>
          <w:szCs w:val="32"/>
          <w:lang w:val="en-US" w:eastAsia="zh-CN"/>
        </w:rPr>
        <w:t>628.97</w:t>
      </w:r>
      <w:r>
        <w:rPr>
          <w:rFonts w:hint="default" w:ascii="Times New Roman" w:hAnsi="Times New Roman" w:eastAsia="仿宋" w:cs="Times New Roman"/>
          <w:spacing w:val="0"/>
          <w:kern w:val="0"/>
          <w:sz w:val="32"/>
          <w:szCs w:val="32"/>
        </w:rPr>
        <w:t>万元。其中，人员支出</w:t>
      </w:r>
      <w:r>
        <w:rPr>
          <w:rFonts w:hint="eastAsia" w:ascii="Times New Roman" w:hAnsi="Times New Roman" w:eastAsia="仿宋" w:cs="Times New Roman"/>
          <w:spacing w:val="0"/>
          <w:kern w:val="0"/>
          <w:sz w:val="32"/>
          <w:szCs w:val="32"/>
          <w:lang w:val="en-US" w:eastAsia="zh-CN"/>
        </w:rPr>
        <w:t>628.97</w:t>
      </w:r>
      <w:r>
        <w:rPr>
          <w:rFonts w:hint="default" w:ascii="Times New Roman" w:hAnsi="Times New Roman" w:eastAsia="仿宋" w:cs="Times New Roman"/>
          <w:spacing w:val="0"/>
          <w:kern w:val="0"/>
          <w:sz w:val="32"/>
          <w:szCs w:val="32"/>
        </w:rPr>
        <w:t>万元，公用支出0万元。</w:t>
      </w:r>
    </w:p>
    <w:p w14:paraId="35446C83">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default" w:ascii="Times New Roman" w:hAnsi="Times New Roman" w:eastAsia="仿宋" w:cs="Times New Roman"/>
          <w:spacing w:val="0"/>
          <w:kern w:val="0"/>
          <w:sz w:val="32"/>
          <w:szCs w:val="32"/>
        </w:rPr>
        <w:t>2.项目支出</w:t>
      </w:r>
      <w:r>
        <w:rPr>
          <w:rFonts w:hint="eastAsia" w:ascii="Times New Roman" w:hAnsi="Times New Roman" w:eastAsia="仿宋" w:cs="Times New Roman"/>
          <w:spacing w:val="0"/>
          <w:kern w:val="0"/>
          <w:sz w:val="32"/>
          <w:szCs w:val="32"/>
          <w:lang w:val="en-US" w:eastAsia="zh-CN"/>
        </w:rPr>
        <w:t>11114.06</w:t>
      </w:r>
      <w:r>
        <w:rPr>
          <w:rFonts w:hint="default" w:ascii="Times New Roman" w:hAnsi="Times New Roman" w:eastAsia="仿宋" w:cs="Times New Roman"/>
          <w:spacing w:val="0"/>
          <w:kern w:val="0"/>
          <w:sz w:val="32"/>
          <w:szCs w:val="32"/>
        </w:rPr>
        <w:t>万元。</w:t>
      </w:r>
    </w:p>
    <w:p w14:paraId="76264447">
      <w:pPr>
        <w:pStyle w:val="28"/>
        <w:widowControl/>
        <w:spacing w:before="240" w:after="240"/>
        <w:ind w:firstLine="640"/>
        <w:jc w:val="left"/>
        <w:rPr>
          <w:rFonts w:hint="default" w:ascii="Times New Roman" w:hAnsi="Times New Roman" w:eastAsia="仿宋" w:cs="Times New Roman"/>
          <w:spacing w:val="0"/>
          <w:kern w:val="0"/>
          <w:sz w:val="32"/>
          <w:szCs w:val="32"/>
        </w:rPr>
      </w:pPr>
      <w:r>
        <w:rPr>
          <w:rFonts w:hint="eastAsia" w:ascii="Times New Roman" w:hAnsi="Times New Roman" w:eastAsia="仿宋" w:cs="Times New Roman"/>
          <w:spacing w:val="0"/>
          <w:kern w:val="0"/>
          <w:sz w:val="32"/>
          <w:szCs w:val="32"/>
          <w:lang w:val="en-US" w:eastAsia="zh-CN"/>
        </w:rPr>
        <w:t>3</w:t>
      </w:r>
      <w:r>
        <w:rPr>
          <w:rFonts w:hint="default" w:ascii="Times New Roman" w:hAnsi="Times New Roman" w:eastAsia="仿宋" w:cs="Times New Roman"/>
          <w:spacing w:val="0"/>
          <w:kern w:val="0"/>
          <w:sz w:val="32"/>
          <w:szCs w:val="32"/>
        </w:rPr>
        <w:t>.经营支出</w:t>
      </w:r>
      <w:r>
        <w:rPr>
          <w:rFonts w:hint="eastAsia" w:ascii="Times New Roman" w:hAnsi="Times New Roman" w:eastAsia="仿宋" w:cs="Times New Roman"/>
          <w:spacing w:val="0"/>
          <w:kern w:val="0"/>
          <w:sz w:val="32"/>
          <w:szCs w:val="32"/>
          <w:lang w:val="en-US" w:eastAsia="zh-CN"/>
        </w:rPr>
        <w:t>49.84</w:t>
      </w:r>
      <w:r>
        <w:rPr>
          <w:rFonts w:hint="default" w:ascii="Times New Roman" w:hAnsi="Times New Roman" w:eastAsia="仿宋" w:cs="Times New Roman"/>
          <w:spacing w:val="0"/>
          <w:kern w:val="0"/>
          <w:sz w:val="32"/>
          <w:szCs w:val="32"/>
        </w:rPr>
        <w:t>万元。</w:t>
      </w:r>
    </w:p>
    <w:p w14:paraId="2F1A5769">
      <w:pPr>
        <w:pStyle w:val="28"/>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32"/>
          <w:szCs w:val="32"/>
        </w:rPr>
        <w:t>二、财政拨款收入支出决算总体情况说明</w:t>
      </w:r>
    </w:p>
    <w:p w14:paraId="3218F9A3">
      <w:pPr>
        <w:pStyle w:val="28"/>
        <w:widowControl/>
        <w:spacing w:before="240" w:after="240"/>
        <w:ind w:firstLine="640"/>
        <w:jc w:val="left"/>
        <w:rPr>
          <w:rFonts w:ascii="Times New Roman" w:hAnsi="Times New Roman" w:eastAsia="Times New Roman" w:cs="Times New Roman"/>
          <w:kern w:val="0"/>
          <w:sz w:val="24"/>
        </w:rPr>
      </w:pPr>
      <w:r>
        <w:rPr>
          <w:rFonts w:hint="default" w:ascii="Times New Roman" w:hAnsi="Times New Roman" w:eastAsia="仿宋" w:cs="Times New Roman"/>
          <w:spacing w:val="0"/>
          <w:kern w:val="0"/>
          <w:sz w:val="32"/>
          <w:szCs w:val="32"/>
        </w:rPr>
        <w:t>2023年度财政拨款收入总计</w:t>
      </w:r>
      <w:r>
        <w:rPr>
          <w:rFonts w:hint="default" w:ascii="Times New Roman" w:hAnsi="Times New Roman" w:eastAsia="仿宋" w:cs="Times New Roman"/>
          <w:spacing w:val="0"/>
          <w:kern w:val="0"/>
          <w:sz w:val="32"/>
          <w:szCs w:val="32"/>
          <w:lang w:val="en-US" w:eastAsia="zh-CN"/>
        </w:rPr>
        <w:t>9204.81</w:t>
      </w:r>
      <w:r>
        <w:rPr>
          <w:rFonts w:hint="default" w:ascii="Times New Roman" w:hAnsi="Times New Roman" w:eastAsia="仿宋" w:cs="Times New Roman"/>
          <w:spacing w:val="0"/>
          <w:kern w:val="0"/>
          <w:sz w:val="32"/>
          <w:szCs w:val="32"/>
        </w:rPr>
        <w:t>万元，支出总计</w:t>
      </w:r>
      <w:r>
        <w:rPr>
          <w:rFonts w:hint="default" w:ascii="Times New Roman" w:hAnsi="Times New Roman" w:eastAsia="仿宋" w:cs="Times New Roman"/>
          <w:spacing w:val="0"/>
          <w:kern w:val="0"/>
          <w:sz w:val="32"/>
          <w:szCs w:val="32"/>
          <w:lang w:val="en-US" w:eastAsia="zh-CN"/>
        </w:rPr>
        <w:t>9204.81</w:t>
      </w:r>
      <w:r>
        <w:rPr>
          <w:rFonts w:hint="default" w:ascii="Times New Roman" w:hAnsi="Times New Roman" w:eastAsia="仿宋" w:cs="Times New Roman"/>
          <w:spacing w:val="0"/>
          <w:kern w:val="0"/>
          <w:sz w:val="32"/>
          <w:szCs w:val="32"/>
        </w:rPr>
        <w:t>万元，与上年决算数相比，各增加</w:t>
      </w:r>
      <w:r>
        <w:rPr>
          <w:rFonts w:hint="default" w:ascii="Times New Roman" w:hAnsi="Times New Roman" w:eastAsia="仿宋" w:cs="Times New Roman"/>
          <w:spacing w:val="0"/>
          <w:kern w:val="0"/>
          <w:sz w:val="32"/>
          <w:szCs w:val="32"/>
          <w:lang w:val="en-US" w:eastAsia="zh-CN"/>
        </w:rPr>
        <w:t>4049.64</w:t>
      </w:r>
      <w:r>
        <w:rPr>
          <w:rFonts w:hint="default" w:ascii="Times New Roman" w:hAnsi="Times New Roman" w:eastAsia="仿宋" w:cs="Times New Roman"/>
          <w:spacing w:val="0"/>
          <w:kern w:val="0"/>
          <w:sz w:val="32"/>
          <w:szCs w:val="32"/>
        </w:rPr>
        <w:t>万元，增长</w:t>
      </w:r>
      <w:r>
        <w:rPr>
          <w:rFonts w:hint="default" w:ascii="Times New Roman" w:hAnsi="Times New Roman" w:eastAsia="仿宋" w:cs="Times New Roman"/>
          <w:spacing w:val="0"/>
          <w:kern w:val="0"/>
          <w:sz w:val="32"/>
          <w:szCs w:val="32"/>
          <w:lang w:val="en-US" w:eastAsia="zh-CN"/>
        </w:rPr>
        <w:t>78.55</w:t>
      </w:r>
      <w:r>
        <w:rPr>
          <w:rFonts w:hint="default" w:ascii="Times New Roman" w:hAnsi="Times New Roman" w:eastAsia="仿宋" w:cs="Times New Roman"/>
          <w:spacing w:val="0"/>
          <w:kern w:val="0"/>
          <w:sz w:val="32"/>
          <w:szCs w:val="32"/>
        </w:rPr>
        <w:t>%</w:t>
      </w:r>
      <w:r>
        <w:rPr>
          <w:rFonts w:hint="default" w:ascii="Times New Roman" w:hAnsi="Times New Roman" w:eastAsia="仿宋" w:cs="Times New Roman"/>
          <w:kern w:val="0"/>
          <w:sz w:val="32"/>
          <w:szCs w:val="32"/>
        </w:rPr>
        <w:t>，主要是：</w:t>
      </w:r>
      <w:r>
        <w:rPr>
          <w:rFonts w:hint="default" w:ascii="Times New Roman" w:hAnsi="Times New Roman" w:eastAsia="仿宋" w:cs="Times New Roman"/>
          <w:kern w:val="0"/>
          <w:sz w:val="32"/>
          <w:szCs w:val="32"/>
          <w:lang w:val="en-US" w:eastAsia="zh-CN"/>
        </w:rPr>
        <w:t>资源勘探工业信息支出</w:t>
      </w:r>
      <w:r>
        <w:rPr>
          <w:rFonts w:hint="default" w:ascii="Times New Roman" w:hAnsi="Times New Roman" w:eastAsia="仿宋" w:cs="Times New Roman"/>
          <w:kern w:val="0"/>
          <w:sz w:val="32"/>
          <w:szCs w:val="32"/>
        </w:rPr>
        <w:t>。</w:t>
      </w:r>
    </w:p>
    <w:p w14:paraId="4E291BED">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三、一般公共预算拨款支出决算情况说明</w:t>
      </w:r>
    </w:p>
    <w:p w14:paraId="1438DFEF">
      <w:pPr>
        <w:pStyle w:val="28"/>
        <w:widowControl/>
        <w:spacing w:before="240" w:after="240"/>
        <w:ind w:firstLine="640"/>
        <w:jc w:val="left"/>
        <w:rPr>
          <w:rFonts w:hint="eastAsia"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2023年一般公共预算支出8777.6万元，比上年决算数增加3906.38万元，增长80.19%，</w:t>
      </w:r>
      <w:r>
        <w:rPr>
          <w:rFonts w:hint="eastAsia" w:ascii="Times New Roman" w:hAnsi="Times New Roman" w:eastAsia="仿宋" w:cs="Times New Roman"/>
          <w:spacing w:val="0"/>
          <w:kern w:val="0"/>
          <w:sz w:val="32"/>
          <w:szCs w:val="32"/>
          <w:lang w:val="en-US" w:eastAsia="zh-CN"/>
        </w:rPr>
        <w:t>具体情况如下(按项级科目分类统计)：</w:t>
      </w:r>
    </w:p>
    <w:p w14:paraId="6BB8CCBA">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eastAsia" w:ascii="Times New Roman" w:hAnsi="Times New Roman" w:eastAsia="仿宋" w:cs="Times New Roman"/>
          <w:spacing w:val="0"/>
          <w:kern w:val="0"/>
          <w:sz w:val="32"/>
          <w:szCs w:val="32"/>
          <w:lang w:val="en-US" w:eastAsia="zh-CN"/>
        </w:rPr>
        <w:t>（一）206</w:t>
      </w:r>
      <w:r>
        <w:rPr>
          <w:rFonts w:hint="eastAsia" w:eastAsia="仿宋" w:cs="Times New Roman"/>
          <w:spacing w:val="0"/>
          <w:kern w:val="0"/>
          <w:sz w:val="32"/>
          <w:szCs w:val="32"/>
          <w:lang w:val="en-US" w:eastAsia="zh-CN"/>
        </w:rPr>
        <w:t>0203</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自然科学基金</w:t>
      </w:r>
      <w:r>
        <w:rPr>
          <w:rFonts w:hint="eastAsia" w:ascii="Times New Roman" w:hAnsi="Times New Roman" w:eastAsia="仿宋" w:cs="Times New Roman"/>
          <w:spacing w:val="0"/>
          <w:kern w:val="0"/>
          <w:sz w:val="32"/>
          <w:szCs w:val="32"/>
          <w:lang w:val="en-US" w:eastAsia="zh-CN"/>
        </w:rPr>
        <w:t>1.31万元，较上年决算数减少3.69万元，下降73.8%。</w:t>
      </w:r>
      <w:r>
        <w:rPr>
          <w:rFonts w:hint="eastAsia" w:eastAsia="仿宋" w:cs="Times New Roman"/>
          <w:spacing w:val="0"/>
          <w:kern w:val="0"/>
          <w:sz w:val="32"/>
          <w:szCs w:val="32"/>
          <w:lang w:val="en-US" w:eastAsia="zh-CN"/>
        </w:rPr>
        <w:t>主要原因是预算压减。</w:t>
      </w:r>
    </w:p>
    <w:p w14:paraId="2E4432B3">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eastAsia" w:ascii="Times New Roman" w:hAnsi="Times New Roman" w:eastAsia="仿宋" w:cs="Times New Roman"/>
          <w:spacing w:val="0"/>
          <w:kern w:val="0"/>
          <w:sz w:val="32"/>
          <w:szCs w:val="32"/>
          <w:lang w:val="en-US" w:eastAsia="zh-CN"/>
        </w:rPr>
        <w:t>（二）208</w:t>
      </w:r>
      <w:r>
        <w:rPr>
          <w:rFonts w:hint="eastAsia" w:eastAsia="仿宋" w:cs="Times New Roman"/>
          <w:spacing w:val="0"/>
          <w:kern w:val="0"/>
          <w:sz w:val="32"/>
          <w:szCs w:val="32"/>
          <w:lang w:val="en-US" w:eastAsia="zh-CN"/>
        </w:rPr>
        <w:t>0502</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事业单位离退休406.5</w:t>
      </w:r>
      <w:r>
        <w:rPr>
          <w:rFonts w:hint="eastAsia" w:ascii="Times New Roman" w:hAnsi="Times New Roman" w:eastAsia="仿宋" w:cs="Times New Roman"/>
          <w:spacing w:val="0"/>
          <w:kern w:val="0"/>
          <w:sz w:val="32"/>
          <w:szCs w:val="32"/>
          <w:lang w:val="en-US" w:eastAsia="zh-CN"/>
        </w:rPr>
        <w:t>万元，较上年决算数增加1</w:t>
      </w:r>
      <w:r>
        <w:rPr>
          <w:rFonts w:hint="eastAsia" w:eastAsia="仿宋" w:cs="Times New Roman"/>
          <w:spacing w:val="0"/>
          <w:kern w:val="0"/>
          <w:sz w:val="32"/>
          <w:szCs w:val="32"/>
          <w:lang w:val="en-US" w:eastAsia="zh-CN"/>
        </w:rPr>
        <w:t>69.21</w:t>
      </w:r>
      <w:r>
        <w:rPr>
          <w:rFonts w:hint="eastAsia" w:ascii="Times New Roman" w:hAnsi="Times New Roman" w:eastAsia="仿宋" w:cs="Times New Roman"/>
          <w:spacing w:val="0"/>
          <w:kern w:val="0"/>
          <w:sz w:val="32"/>
          <w:szCs w:val="32"/>
          <w:lang w:val="en-US" w:eastAsia="zh-CN"/>
        </w:rPr>
        <w:t>万元，增长</w:t>
      </w:r>
      <w:r>
        <w:rPr>
          <w:rFonts w:hint="eastAsia" w:eastAsia="仿宋" w:cs="Times New Roman"/>
          <w:spacing w:val="0"/>
          <w:kern w:val="0"/>
          <w:sz w:val="32"/>
          <w:szCs w:val="32"/>
          <w:lang w:val="en-US" w:eastAsia="zh-CN"/>
        </w:rPr>
        <w:t>71.31</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主要原因是离退休人员经费增加。</w:t>
      </w:r>
    </w:p>
    <w:p w14:paraId="38FA23A0">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eastAsia" w:eastAsia="仿宋" w:cs="Times New Roman"/>
          <w:spacing w:val="0"/>
          <w:kern w:val="0"/>
          <w:sz w:val="32"/>
          <w:szCs w:val="32"/>
          <w:lang w:val="en-US" w:eastAsia="zh-CN"/>
        </w:rPr>
        <w:t>（三）2080801-死亡抚恤27.65万元，</w:t>
      </w:r>
      <w:r>
        <w:rPr>
          <w:rFonts w:hint="eastAsia" w:ascii="Times New Roman" w:hAnsi="Times New Roman" w:eastAsia="仿宋" w:cs="Times New Roman"/>
          <w:spacing w:val="0"/>
          <w:kern w:val="0"/>
          <w:sz w:val="32"/>
          <w:szCs w:val="32"/>
          <w:lang w:val="en-US" w:eastAsia="zh-CN"/>
        </w:rPr>
        <w:t>较上年决算数增加</w:t>
      </w:r>
      <w:r>
        <w:rPr>
          <w:rFonts w:hint="eastAsia" w:eastAsia="仿宋" w:cs="Times New Roman"/>
          <w:spacing w:val="0"/>
          <w:kern w:val="0"/>
          <w:sz w:val="32"/>
          <w:szCs w:val="32"/>
          <w:lang w:val="en-US" w:eastAsia="zh-CN"/>
        </w:rPr>
        <w:t>8.94</w:t>
      </w:r>
      <w:r>
        <w:rPr>
          <w:rFonts w:hint="eastAsia" w:ascii="Times New Roman" w:hAnsi="Times New Roman" w:eastAsia="仿宋" w:cs="Times New Roman"/>
          <w:spacing w:val="0"/>
          <w:kern w:val="0"/>
          <w:sz w:val="32"/>
          <w:szCs w:val="32"/>
          <w:lang w:val="en-US" w:eastAsia="zh-CN"/>
        </w:rPr>
        <w:t>万元，增长</w:t>
      </w:r>
      <w:r>
        <w:rPr>
          <w:rFonts w:hint="eastAsia" w:eastAsia="仿宋" w:cs="Times New Roman"/>
          <w:spacing w:val="0"/>
          <w:kern w:val="0"/>
          <w:sz w:val="32"/>
          <w:szCs w:val="32"/>
          <w:lang w:val="en-US" w:eastAsia="zh-CN"/>
        </w:rPr>
        <w:t>47.78</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主要原因是死亡抚恤支出增加。</w:t>
      </w:r>
    </w:p>
    <w:p w14:paraId="7D139FB9">
      <w:pPr>
        <w:pStyle w:val="28"/>
        <w:widowControl/>
        <w:spacing w:before="240" w:after="240"/>
        <w:ind w:firstLine="640"/>
        <w:jc w:val="left"/>
        <w:rPr>
          <w:rFonts w:hint="eastAsia" w:ascii="Times New Roman" w:hAnsi="Times New Roman" w:eastAsia="仿宋" w:cs="Times New Roman"/>
          <w:spacing w:val="0"/>
          <w:kern w:val="0"/>
          <w:sz w:val="32"/>
          <w:szCs w:val="32"/>
          <w:lang w:val="en-US" w:eastAsia="zh-CN"/>
        </w:rPr>
      </w:pP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四</w:t>
      </w:r>
      <w:r>
        <w:rPr>
          <w:rFonts w:hint="eastAsia" w:ascii="Times New Roman" w:hAnsi="Times New Roman" w:eastAsia="仿宋" w:cs="Times New Roman"/>
          <w:spacing w:val="0"/>
          <w:kern w:val="0"/>
          <w:sz w:val="32"/>
          <w:szCs w:val="32"/>
          <w:lang w:val="en-US" w:eastAsia="zh-CN"/>
        </w:rPr>
        <w:t>）215</w:t>
      </w:r>
      <w:r>
        <w:rPr>
          <w:rFonts w:hint="eastAsia" w:eastAsia="仿宋" w:cs="Times New Roman"/>
          <w:spacing w:val="0"/>
          <w:kern w:val="0"/>
          <w:sz w:val="32"/>
          <w:szCs w:val="32"/>
          <w:lang w:val="en-US" w:eastAsia="zh-CN"/>
        </w:rPr>
        <w:t>0199</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其他</w:t>
      </w:r>
      <w:r>
        <w:rPr>
          <w:rFonts w:hint="eastAsia" w:ascii="Times New Roman" w:hAnsi="Times New Roman" w:eastAsia="仿宋" w:cs="Times New Roman"/>
          <w:spacing w:val="0"/>
          <w:kern w:val="0"/>
          <w:sz w:val="32"/>
          <w:szCs w:val="32"/>
          <w:lang w:val="en-US" w:eastAsia="zh-CN"/>
        </w:rPr>
        <w:t>资源勘探业支出</w:t>
      </w:r>
      <w:r>
        <w:rPr>
          <w:rFonts w:hint="eastAsia" w:eastAsia="仿宋" w:cs="Times New Roman"/>
          <w:spacing w:val="0"/>
          <w:kern w:val="0"/>
          <w:sz w:val="32"/>
          <w:szCs w:val="32"/>
          <w:lang w:val="en-US" w:eastAsia="zh-CN"/>
        </w:rPr>
        <w:t>347.32</w:t>
      </w:r>
      <w:r>
        <w:rPr>
          <w:rFonts w:hint="eastAsia" w:ascii="Times New Roman" w:hAnsi="Times New Roman" w:eastAsia="仿宋" w:cs="Times New Roman"/>
          <w:spacing w:val="0"/>
          <w:kern w:val="0"/>
          <w:sz w:val="32"/>
          <w:szCs w:val="32"/>
          <w:lang w:val="en-US" w:eastAsia="zh-CN"/>
        </w:rPr>
        <w:t>万元，较上年决算数减少</w:t>
      </w:r>
      <w:r>
        <w:rPr>
          <w:rFonts w:hint="eastAsia" w:eastAsia="仿宋" w:cs="Times New Roman"/>
          <w:spacing w:val="0"/>
          <w:kern w:val="0"/>
          <w:sz w:val="32"/>
          <w:szCs w:val="32"/>
          <w:lang w:val="en-US" w:eastAsia="zh-CN"/>
        </w:rPr>
        <w:t>2353.16</w:t>
      </w:r>
      <w:r>
        <w:rPr>
          <w:rFonts w:hint="eastAsia" w:ascii="Times New Roman" w:hAnsi="Times New Roman" w:eastAsia="仿宋" w:cs="Times New Roman"/>
          <w:spacing w:val="0"/>
          <w:kern w:val="0"/>
          <w:sz w:val="32"/>
          <w:szCs w:val="32"/>
          <w:lang w:val="en-US" w:eastAsia="zh-CN"/>
        </w:rPr>
        <w:t>万元，下降</w:t>
      </w:r>
      <w:r>
        <w:rPr>
          <w:rFonts w:hint="eastAsia" w:eastAsia="仿宋" w:cs="Times New Roman"/>
          <w:spacing w:val="0"/>
          <w:kern w:val="0"/>
          <w:sz w:val="32"/>
          <w:szCs w:val="32"/>
          <w:lang w:val="en-US" w:eastAsia="zh-CN"/>
        </w:rPr>
        <w:t>87.14</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主要原因是项级科目调整。</w:t>
      </w:r>
    </w:p>
    <w:p w14:paraId="07071ECF">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eastAsia" w:eastAsia="仿宋" w:cs="Times New Roman"/>
          <w:spacing w:val="0"/>
          <w:kern w:val="0"/>
          <w:sz w:val="32"/>
          <w:szCs w:val="32"/>
          <w:lang w:val="en-US" w:eastAsia="zh-CN"/>
        </w:rPr>
        <w:t>（五）2159999-其他资源勘探工业信息等支出2408.34万元，</w:t>
      </w:r>
      <w:r>
        <w:rPr>
          <w:rFonts w:hint="eastAsia" w:ascii="Times New Roman" w:hAnsi="Times New Roman" w:eastAsia="仿宋" w:cs="Times New Roman"/>
          <w:spacing w:val="0"/>
          <w:kern w:val="0"/>
          <w:sz w:val="32"/>
          <w:szCs w:val="32"/>
          <w:lang w:val="en-US" w:eastAsia="zh-CN"/>
        </w:rPr>
        <w:t>较上年决算数</w:t>
      </w:r>
      <w:r>
        <w:rPr>
          <w:rFonts w:hint="eastAsia" w:eastAsia="仿宋" w:cs="Times New Roman"/>
          <w:spacing w:val="0"/>
          <w:kern w:val="0"/>
          <w:sz w:val="32"/>
          <w:szCs w:val="32"/>
          <w:lang w:val="en-US" w:eastAsia="zh-CN"/>
        </w:rPr>
        <w:t>增加2408.34</w:t>
      </w:r>
      <w:r>
        <w:rPr>
          <w:rFonts w:hint="eastAsia" w:ascii="Times New Roman" w:hAnsi="Times New Roman" w:eastAsia="仿宋" w:cs="Times New Roman"/>
          <w:spacing w:val="0"/>
          <w:kern w:val="0"/>
          <w:sz w:val="32"/>
          <w:szCs w:val="32"/>
          <w:lang w:val="en-US" w:eastAsia="zh-CN"/>
        </w:rPr>
        <w:t>万元，</w:t>
      </w:r>
      <w:r>
        <w:rPr>
          <w:rFonts w:hint="eastAsia" w:eastAsia="仿宋" w:cs="Times New Roman"/>
          <w:spacing w:val="0"/>
          <w:kern w:val="0"/>
          <w:sz w:val="32"/>
          <w:szCs w:val="32"/>
          <w:lang w:val="en-US" w:eastAsia="zh-CN"/>
        </w:rPr>
        <w:t>增加100</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主要原因是项级科目调整。</w:t>
      </w:r>
    </w:p>
    <w:p w14:paraId="529F07F1">
      <w:pPr>
        <w:pStyle w:val="28"/>
        <w:widowControl/>
        <w:spacing w:before="240" w:after="240"/>
        <w:ind w:firstLine="640"/>
        <w:jc w:val="left"/>
        <w:rPr>
          <w:rFonts w:hint="eastAsia" w:ascii="Times New Roman" w:hAnsi="Times New Roman" w:eastAsia="仿宋" w:cs="Times New Roman"/>
          <w:spacing w:val="0"/>
          <w:kern w:val="0"/>
          <w:sz w:val="32"/>
          <w:szCs w:val="32"/>
          <w:lang w:val="en-US" w:eastAsia="zh-CN"/>
        </w:rPr>
      </w:pP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六</w:t>
      </w:r>
      <w:r>
        <w:rPr>
          <w:rFonts w:hint="eastAsia" w:ascii="Times New Roman" w:hAnsi="Times New Roman" w:eastAsia="仿宋" w:cs="Times New Roman"/>
          <w:spacing w:val="0"/>
          <w:kern w:val="0"/>
          <w:sz w:val="32"/>
          <w:szCs w:val="32"/>
          <w:lang w:val="en-US" w:eastAsia="zh-CN"/>
        </w:rPr>
        <w:t>）224</w:t>
      </w:r>
      <w:r>
        <w:rPr>
          <w:rFonts w:hint="eastAsia" w:eastAsia="仿宋" w:cs="Times New Roman"/>
          <w:spacing w:val="0"/>
          <w:kern w:val="0"/>
          <w:sz w:val="32"/>
          <w:szCs w:val="32"/>
          <w:lang w:val="en-US" w:eastAsia="zh-CN"/>
        </w:rPr>
        <w:t>0104</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灾害风险防治419.96</w:t>
      </w:r>
      <w:r>
        <w:rPr>
          <w:rFonts w:hint="eastAsia" w:ascii="Times New Roman" w:hAnsi="Times New Roman" w:eastAsia="仿宋" w:cs="Times New Roman"/>
          <w:spacing w:val="0"/>
          <w:kern w:val="0"/>
          <w:sz w:val="32"/>
          <w:szCs w:val="32"/>
          <w:lang w:val="en-US" w:eastAsia="zh-CN"/>
        </w:rPr>
        <w:t>万元，较上年决算数减少</w:t>
      </w:r>
      <w:r>
        <w:rPr>
          <w:rFonts w:hint="eastAsia" w:eastAsia="仿宋" w:cs="Times New Roman"/>
          <w:spacing w:val="0"/>
          <w:kern w:val="0"/>
          <w:sz w:val="32"/>
          <w:szCs w:val="32"/>
          <w:lang w:val="en-US" w:eastAsia="zh-CN"/>
        </w:rPr>
        <w:t>686.08</w:t>
      </w:r>
      <w:r>
        <w:rPr>
          <w:rFonts w:hint="eastAsia" w:ascii="Times New Roman" w:hAnsi="Times New Roman" w:eastAsia="仿宋" w:cs="Times New Roman"/>
          <w:spacing w:val="0"/>
          <w:kern w:val="0"/>
          <w:sz w:val="32"/>
          <w:szCs w:val="32"/>
          <w:lang w:val="en-US" w:eastAsia="zh-CN"/>
        </w:rPr>
        <w:t>万元，下降</w:t>
      </w:r>
      <w:r>
        <w:rPr>
          <w:rFonts w:hint="eastAsia" w:eastAsia="仿宋" w:cs="Times New Roman"/>
          <w:spacing w:val="0"/>
          <w:kern w:val="0"/>
          <w:sz w:val="32"/>
          <w:szCs w:val="32"/>
          <w:lang w:val="en-US" w:eastAsia="zh-CN"/>
        </w:rPr>
        <w:t>62.03</w:t>
      </w:r>
      <w:r>
        <w:rPr>
          <w:rFonts w:hint="eastAsia"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主要原因是项级科目调整。</w:t>
      </w:r>
    </w:p>
    <w:p w14:paraId="57B36C61">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eastAsia" w:eastAsia="仿宋" w:cs="Times New Roman"/>
          <w:spacing w:val="0"/>
          <w:kern w:val="0"/>
          <w:sz w:val="32"/>
          <w:szCs w:val="32"/>
          <w:lang w:val="en-US" w:eastAsia="zh-CN"/>
        </w:rPr>
        <w:t>（七）2240601-地质灾害防治5166.51万元，</w:t>
      </w:r>
      <w:r>
        <w:rPr>
          <w:rFonts w:hint="eastAsia" w:ascii="Times New Roman" w:hAnsi="Times New Roman" w:eastAsia="仿宋" w:cs="Times New Roman"/>
          <w:spacing w:val="0"/>
          <w:kern w:val="0"/>
          <w:sz w:val="32"/>
          <w:szCs w:val="32"/>
          <w:lang w:val="en-US" w:eastAsia="zh-CN"/>
        </w:rPr>
        <w:t>较上年决算数增加</w:t>
      </w:r>
      <w:r>
        <w:rPr>
          <w:rFonts w:hint="eastAsia" w:eastAsia="仿宋" w:cs="Times New Roman"/>
          <w:spacing w:val="0"/>
          <w:kern w:val="0"/>
          <w:sz w:val="32"/>
          <w:szCs w:val="32"/>
          <w:lang w:val="en-US" w:eastAsia="zh-CN"/>
        </w:rPr>
        <w:t>4455.5</w:t>
      </w:r>
      <w:r>
        <w:rPr>
          <w:rFonts w:hint="eastAsia" w:ascii="Times New Roman" w:hAnsi="Times New Roman" w:eastAsia="仿宋" w:cs="Times New Roman"/>
          <w:spacing w:val="0"/>
          <w:kern w:val="0"/>
          <w:sz w:val="32"/>
          <w:szCs w:val="32"/>
          <w:lang w:val="en-US" w:eastAsia="zh-CN"/>
        </w:rPr>
        <w:t>万元，增长</w:t>
      </w:r>
      <w:r>
        <w:rPr>
          <w:rFonts w:hint="eastAsia" w:eastAsia="仿宋" w:cs="Times New Roman"/>
          <w:spacing w:val="0"/>
          <w:kern w:val="0"/>
          <w:sz w:val="32"/>
          <w:szCs w:val="32"/>
          <w:lang w:val="en-US" w:eastAsia="zh-CN"/>
        </w:rPr>
        <w:t>626.64</w:t>
      </w:r>
      <w:r>
        <w:rPr>
          <w:rFonts w:hint="eastAsia" w:ascii="Times New Roman" w:hAnsi="Times New Roman" w:eastAsia="仿宋" w:cs="Times New Roman"/>
          <w:spacing w:val="0"/>
          <w:kern w:val="0"/>
          <w:sz w:val="32"/>
          <w:szCs w:val="32"/>
          <w:lang w:val="en-US" w:eastAsia="zh-CN"/>
        </w:rPr>
        <w:t>%。主要原因是本年度承担了中央财政资金地质灾害防治项目800处群专地质灾害预警项目5600万元。</w:t>
      </w:r>
    </w:p>
    <w:p w14:paraId="58805959">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四、政府性基金预算财政拨款支出决算情况说明</w:t>
      </w:r>
    </w:p>
    <w:p w14:paraId="28F55BF2">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本单位2023年度没有使用政府性基金预算拨款安排的支出。</w:t>
      </w:r>
    </w:p>
    <w:p w14:paraId="185CB858">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五、国有资本经营预算财政拨款支出决算情况说明</w:t>
      </w:r>
    </w:p>
    <w:p w14:paraId="082BA941">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本单位2023年度没有使用国有资本经营预算财政拨款安排的支出。</w:t>
      </w:r>
    </w:p>
    <w:p w14:paraId="5E5A56EA">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六、一般公共预算财政拨款基本支出决算情况说明</w:t>
      </w:r>
    </w:p>
    <w:p w14:paraId="1E50500B">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2023年度一般公共预算财政拨款基本支出</w:t>
      </w:r>
      <w:r>
        <w:rPr>
          <w:rFonts w:hint="eastAsia" w:ascii="Times New Roman" w:hAnsi="Times New Roman" w:eastAsia="仿宋" w:cs="Times New Roman"/>
          <w:spacing w:val="0"/>
          <w:kern w:val="0"/>
          <w:sz w:val="32"/>
          <w:szCs w:val="32"/>
          <w:lang w:val="en-US" w:eastAsia="zh-CN"/>
        </w:rPr>
        <w:t>628.97</w:t>
      </w:r>
      <w:r>
        <w:rPr>
          <w:rFonts w:hint="default" w:ascii="Times New Roman" w:hAnsi="Times New Roman" w:eastAsia="仿宋" w:cs="Times New Roman"/>
          <w:spacing w:val="0"/>
          <w:kern w:val="0"/>
          <w:sz w:val="32"/>
          <w:szCs w:val="32"/>
          <w:lang w:val="en-US" w:eastAsia="zh-CN"/>
        </w:rPr>
        <w:t>万元，其中：</w:t>
      </w:r>
    </w:p>
    <w:p w14:paraId="582A4389">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（一）人员经费</w:t>
      </w:r>
      <w:r>
        <w:rPr>
          <w:rFonts w:hint="eastAsia" w:ascii="Times New Roman" w:hAnsi="Times New Roman" w:eastAsia="仿宋" w:cs="Times New Roman"/>
          <w:spacing w:val="0"/>
          <w:kern w:val="0"/>
          <w:sz w:val="32"/>
          <w:szCs w:val="32"/>
          <w:lang w:val="en-US" w:eastAsia="zh-CN"/>
        </w:rPr>
        <w:t>628.97</w:t>
      </w:r>
      <w:r>
        <w:rPr>
          <w:rFonts w:hint="default" w:ascii="Times New Roman" w:hAnsi="Times New Roman" w:eastAsia="仿宋" w:cs="Times New Roman"/>
          <w:spacing w:val="0"/>
          <w:kern w:val="0"/>
          <w:sz w:val="32"/>
          <w:szCs w:val="32"/>
          <w:lang w:val="en-US" w:eastAsia="zh-CN"/>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29FE3C29">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二）公用经费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67190948">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七、一般公共预算拨款“三公”经费支出决算情况说明</w:t>
      </w:r>
    </w:p>
    <w:p w14:paraId="4826F5BB">
      <w:pPr>
        <w:pStyle w:val="28"/>
        <w:widowControl/>
        <w:spacing w:before="240" w:after="240"/>
        <w:ind w:firstLine="640"/>
        <w:jc w:val="left"/>
        <w:rPr>
          <w:rFonts w:hint="eastAsia"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2023年度一般公共预算拨款“三公”经费支出</w:t>
      </w:r>
      <w:r>
        <w:rPr>
          <w:rFonts w:hint="eastAsia" w:ascii="Times New Roman" w:hAnsi="Times New Roman" w:eastAsia="仿宋" w:cs="Times New Roman"/>
          <w:spacing w:val="0"/>
          <w:kern w:val="0"/>
          <w:sz w:val="32"/>
          <w:szCs w:val="32"/>
          <w:lang w:val="en-US" w:eastAsia="zh-CN"/>
        </w:rPr>
        <w:t>10.44</w:t>
      </w:r>
      <w:r>
        <w:rPr>
          <w:rFonts w:hint="default" w:ascii="Times New Roman" w:hAnsi="Times New Roman" w:eastAsia="仿宋" w:cs="Times New Roman"/>
          <w:spacing w:val="0"/>
          <w:kern w:val="0"/>
          <w:sz w:val="32"/>
          <w:szCs w:val="32"/>
          <w:lang w:val="en-US" w:eastAsia="zh-CN"/>
        </w:rPr>
        <w:t>万元，完成全年预算的</w:t>
      </w:r>
      <w:r>
        <w:rPr>
          <w:rFonts w:hint="eastAsia" w:ascii="Times New Roman" w:hAnsi="Times New Roman" w:eastAsia="仿宋" w:cs="Times New Roman"/>
          <w:spacing w:val="0"/>
          <w:kern w:val="0"/>
          <w:sz w:val="32"/>
          <w:szCs w:val="32"/>
          <w:lang w:val="en-US" w:eastAsia="zh-CN"/>
        </w:rPr>
        <w:t>36.63</w:t>
      </w:r>
      <w:r>
        <w:rPr>
          <w:rFonts w:hint="default" w:ascii="Times New Roman" w:hAnsi="Times New Roman" w:eastAsia="仿宋" w:cs="Times New Roman"/>
          <w:spacing w:val="0"/>
          <w:kern w:val="0"/>
          <w:sz w:val="32"/>
          <w:szCs w:val="32"/>
          <w:lang w:val="en-US" w:eastAsia="zh-CN"/>
        </w:rPr>
        <w:t>%。主要原因是</w:t>
      </w:r>
      <w:r>
        <w:rPr>
          <w:rFonts w:hint="eastAsia" w:ascii="Times New Roman" w:hAnsi="Times New Roman" w:eastAsia="仿宋" w:cs="Times New Roman"/>
          <w:spacing w:val="0"/>
          <w:kern w:val="0"/>
          <w:sz w:val="32"/>
          <w:szCs w:val="32"/>
          <w:lang w:val="en-US" w:eastAsia="zh-CN"/>
        </w:rPr>
        <w:t>本单位坚持过紧日子，压缩</w:t>
      </w:r>
      <w:r>
        <w:rPr>
          <w:rFonts w:hint="default" w:ascii="Times New Roman" w:hAnsi="Times New Roman" w:eastAsia="仿宋" w:cs="Times New Roman"/>
          <w:spacing w:val="0"/>
          <w:kern w:val="0"/>
          <w:sz w:val="32"/>
          <w:szCs w:val="32"/>
          <w:lang w:val="en-US" w:eastAsia="zh-CN"/>
        </w:rPr>
        <w:t>“三公”经费支出。具体情况如下：</w:t>
      </w:r>
    </w:p>
    <w:p w14:paraId="5ACFCA89">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（一）因公出国（境）费支出0万</w:t>
      </w:r>
      <w:r>
        <w:rPr>
          <w:rFonts w:hint="eastAsia" w:eastAsia="仿宋" w:cs="Times New Roman"/>
          <w:spacing w:val="0"/>
          <w:kern w:val="0"/>
          <w:sz w:val="32"/>
          <w:szCs w:val="32"/>
          <w:lang w:val="en-US" w:eastAsia="zh-CN"/>
        </w:rPr>
        <w:t>，完成全年预算的0%，与上年决算持平</w:t>
      </w:r>
      <w:r>
        <w:rPr>
          <w:rFonts w:hint="default" w:ascii="Times New Roman" w:hAnsi="Times New Roman" w:eastAsia="仿宋" w:cs="Times New Roman"/>
          <w:spacing w:val="0"/>
          <w:kern w:val="0"/>
          <w:sz w:val="32"/>
          <w:szCs w:val="32"/>
          <w:lang w:val="en-US" w:eastAsia="zh-CN"/>
        </w:rPr>
        <w:t>。</w:t>
      </w:r>
      <w:r>
        <w:rPr>
          <w:rFonts w:hint="eastAsia" w:eastAsia="仿宋" w:cs="Times New Roman"/>
          <w:spacing w:val="0"/>
          <w:kern w:val="0"/>
          <w:sz w:val="32"/>
          <w:szCs w:val="32"/>
          <w:lang w:val="en-US" w:eastAsia="zh-CN"/>
        </w:rPr>
        <w:t>全年安排本单位组织的出国团组0个，参加其他单位出国团组0个；全年因公出国（境）累计0人次。</w:t>
      </w:r>
      <w:r>
        <w:rPr>
          <w:rFonts w:hint="default" w:ascii="Times New Roman" w:hAnsi="Times New Roman" w:eastAsia="仿宋" w:cs="Times New Roman"/>
          <w:spacing w:val="0"/>
          <w:kern w:val="0"/>
          <w:sz w:val="32"/>
          <w:szCs w:val="32"/>
          <w:lang w:val="en-US" w:eastAsia="zh-CN"/>
        </w:rPr>
        <w:t>主要是因公出国（境）费</w:t>
      </w:r>
      <w:r>
        <w:rPr>
          <w:rFonts w:hint="eastAsia" w:ascii="Times New Roman" w:hAnsi="Times New Roman" w:eastAsia="仿宋" w:cs="Times New Roman"/>
          <w:spacing w:val="0"/>
          <w:kern w:val="0"/>
          <w:sz w:val="32"/>
          <w:szCs w:val="32"/>
          <w:lang w:val="en-US" w:eastAsia="zh-CN"/>
        </w:rPr>
        <w:t>未开支</w:t>
      </w:r>
      <w:r>
        <w:rPr>
          <w:rFonts w:hint="default" w:ascii="Times New Roman" w:hAnsi="Times New Roman" w:eastAsia="仿宋" w:cs="Times New Roman"/>
          <w:spacing w:val="0"/>
          <w:kern w:val="0"/>
          <w:sz w:val="32"/>
          <w:szCs w:val="32"/>
          <w:lang w:val="en-US" w:eastAsia="zh-CN"/>
        </w:rPr>
        <w:t>。</w:t>
      </w:r>
    </w:p>
    <w:p w14:paraId="5F0F0E0B">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（二）公务用车购置及运行费支出</w:t>
      </w:r>
      <w:r>
        <w:rPr>
          <w:rFonts w:hint="eastAsia" w:ascii="Times New Roman" w:hAnsi="Times New Roman" w:eastAsia="仿宋" w:cs="Times New Roman"/>
          <w:spacing w:val="0"/>
          <w:kern w:val="0"/>
          <w:sz w:val="32"/>
          <w:szCs w:val="32"/>
          <w:lang w:val="en-US" w:eastAsia="zh-CN"/>
        </w:rPr>
        <w:t>10.27</w:t>
      </w:r>
      <w:r>
        <w:rPr>
          <w:rFonts w:hint="default" w:ascii="Times New Roman" w:hAnsi="Times New Roman" w:eastAsia="仿宋" w:cs="Times New Roman"/>
          <w:spacing w:val="0"/>
          <w:kern w:val="0"/>
          <w:sz w:val="32"/>
          <w:szCs w:val="32"/>
          <w:lang w:val="en-US" w:eastAsia="zh-CN"/>
        </w:rPr>
        <w:t>万元，完成全年预算的</w:t>
      </w:r>
      <w:r>
        <w:rPr>
          <w:rFonts w:hint="eastAsia" w:ascii="Times New Roman" w:hAnsi="Times New Roman" w:eastAsia="仿宋" w:cs="Times New Roman"/>
          <w:spacing w:val="0"/>
          <w:kern w:val="0"/>
          <w:sz w:val="32"/>
          <w:szCs w:val="32"/>
          <w:lang w:val="en-US" w:eastAsia="zh-CN"/>
        </w:rPr>
        <w:t>57.06</w:t>
      </w:r>
      <w:r>
        <w:rPr>
          <w:rFonts w:hint="default" w:ascii="Times New Roman" w:hAnsi="Times New Roman" w:eastAsia="仿宋" w:cs="Times New Roman"/>
          <w:spacing w:val="0"/>
          <w:kern w:val="0"/>
          <w:sz w:val="32"/>
          <w:szCs w:val="32"/>
          <w:lang w:val="en-US" w:eastAsia="zh-CN"/>
        </w:rPr>
        <w:t>%；较上年减少</w:t>
      </w:r>
      <w:r>
        <w:rPr>
          <w:rFonts w:hint="eastAsia" w:ascii="Times New Roman" w:hAnsi="Times New Roman" w:eastAsia="仿宋" w:cs="Times New Roman"/>
          <w:spacing w:val="0"/>
          <w:kern w:val="0"/>
          <w:sz w:val="32"/>
          <w:szCs w:val="32"/>
          <w:lang w:val="en-US" w:eastAsia="zh-CN"/>
        </w:rPr>
        <w:t>0.02</w:t>
      </w:r>
      <w:r>
        <w:rPr>
          <w:rFonts w:hint="default" w:ascii="Times New Roman" w:hAnsi="Times New Roman" w:eastAsia="仿宋" w:cs="Times New Roman"/>
          <w:spacing w:val="0"/>
          <w:kern w:val="0"/>
          <w:sz w:val="32"/>
          <w:szCs w:val="32"/>
          <w:lang w:val="en-US" w:eastAsia="zh-CN"/>
        </w:rPr>
        <w:t>万元，降低</w:t>
      </w:r>
      <w:r>
        <w:rPr>
          <w:rFonts w:hint="eastAsia" w:ascii="Times New Roman" w:hAnsi="Times New Roman" w:eastAsia="仿宋" w:cs="Times New Roman"/>
          <w:spacing w:val="0"/>
          <w:kern w:val="0"/>
          <w:sz w:val="32"/>
          <w:szCs w:val="32"/>
          <w:lang w:val="en-US" w:eastAsia="zh-CN"/>
        </w:rPr>
        <w:t>0.2</w:t>
      </w:r>
      <w:r>
        <w:rPr>
          <w:rFonts w:hint="default" w:ascii="Times New Roman" w:hAnsi="Times New Roman" w:eastAsia="仿宋" w:cs="Times New Roman"/>
          <w:spacing w:val="0"/>
          <w:kern w:val="0"/>
          <w:sz w:val="32"/>
          <w:szCs w:val="32"/>
          <w:lang w:val="en-US" w:eastAsia="zh-CN"/>
        </w:rPr>
        <w:t>%。其中：</w:t>
      </w:r>
    </w:p>
    <w:p w14:paraId="3B223A4F">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公务用车购置费支出0万元</w:t>
      </w:r>
      <w:r>
        <w:rPr>
          <w:rFonts w:hint="eastAsia" w:eastAsia="仿宋" w:cs="Times New Roman"/>
          <w:spacing w:val="0"/>
          <w:kern w:val="0"/>
          <w:sz w:val="32"/>
          <w:szCs w:val="32"/>
          <w:lang w:val="en-US" w:eastAsia="zh-CN"/>
        </w:rPr>
        <w:t>，完成全年预算的100%</w:t>
      </w:r>
      <w:r>
        <w:rPr>
          <w:rFonts w:hint="default" w:ascii="Times New Roman" w:hAnsi="Times New Roman" w:eastAsia="仿宋" w:cs="Times New Roman"/>
          <w:spacing w:val="0"/>
          <w:kern w:val="0"/>
          <w:sz w:val="32"/>
          <w:szCs w:val="32"/>
          <w:lang w:val="en-US" w:eastAsia="zh-CN"/>
        </w:rPr>
        <w:t>。2023年公务用车购置0辆</w:t>
      </w:r>
      <w:r>
        <w:rPr>
          <w:rFonts w:hint="eastAsia" w:eastAsia="仿宋" w:cs="Times New Roman"/>
          <w:spacing w:val="0"/>
          <w:kern w:val="0"/>
          <w:sz w:val="32"/>
          <w:szCs w:val="32"/>
          <w:lang w:val="en-US" w:eastAsia="zh-CN"/>
        </w:rPr>
        <w:t>，主要原因是无公务用车购置安排。</w:t>
      </w:r>
    </w:p>
    <w:p w14:paraId="0B875146">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公务用车运行费支出</w:t>
      </w:r>
      <w:r>
        <w:rPr>
          <w:rFonts w:hint="eastAsia" w:ascii="Times New Roman" w:hAnsi="Times New Roman" w:eastAsia="仿宋" w:cs="Times New Roman"/>
          <w:spacing w:val="0"/>
          <w:kern w:val="0"/>
          <w:sz w:val="32"/>
          <w:szCs w:val="32"/>
          <w:lang w:val="en-US" w:eastAsia="zh-CN"/>
        </w:rPr>
        <w:t>10.27</w:t>
      </w:r>
      <w:r>
        <w:rPr>
          <w:rFonts w:hint="default" w:ascii="Times New Roman" w:hAnsi="Times New Roman" w:eastAsia="仿宋" w:cs="Times New Roman"/>
          <w:spacing w:val="0"/>
          <w:kern w:val="0"/>
          <w:sz w:val="32"/>
          <w:szCs w:val="32"/>
          <w:lang w:val="en-US" w:eastAsia="zh-CN"/>
        </w:rPr>
        <w:t>万元，完成全年预算的</w:t>
      </w:r>
      <w:r>
        <w:rPr>
          <w:rFonts w:hint="eastAsia" w:ascii="Times New Roman" w:hAnsi="Times New Roman" w:eastAsia="仿宋" w:cs="Times New Roman"/>
          <w:spacing w:val="0"/>
          <w:kern w:val="0"/>
          <w:sz w:val="32"/>
          <w:szCs w:val="32"/>
          <w:lang w:val="en-US" w:eastAsia="zh-CN"/>
        </w:rPr>
        <w:t>57.06</w:t>
      </w:r>
      <w:r>
        <w:rPr>
          <w:rFonts w:hint="default" w:ascii="Times New Roman" w:hAnsi="Times New Roman" w:eastAsia="仿宋" w:cs="Times New Roman"/>
          <w:spacing w:val="0"/>
          <w:kern w:val="0"/>
          <w:sz w:val="32"/>
          <w:szCs w:val="32"/>
          <w:lang w:val="en-US" w:eastAsia="zh-CN"/>
        </w:rPr>
        <w:t>%；较上年减少</w:t>
      </w:r>
      <w:r>
        <w:rPr>
          <w:rFonts w:hint="eastAsia" w:ascii="Times New Roman" w:hAnsi="Times New Roman" w:eastAsia="仿宋" w:cs="Times New Roman"/>
          <w:spacing w:val="0"/>
          <w:kern w:val="0"/>
          <w:sz w:val="32"/>
          <w:szCs w:val="32"/>
          <w:lang w:val="en-US" w:eastAsia="zh-CN"/>
        </w:rPr>
        <w:t>0.02</w:t>
      </w:r>
      <w:r>
        <w:rPr>
          <w:rFonts w:hint="default" w:ascii="Times New Roman" w:hAnsi="Times New Roman" w:eastAsia="仿宋" w:cs="Times New Roman"/>
          <w:spacing w:val="0"/>
          <w:kern w:val="0"/>
          <w:sz w:val="32"/>
          <w:szCs w:val="32"/>
          <w:lang w:val="en-US" w:eastAsia="zh-CN"/>
        </w:rPr>
        <w:t>万元，降低</w:t>
      </w:r>
      <w:r>
        <w:rPr>
          <w:rFonts w:hint="eastAsia" w:ascii="Times New Roman" w:hAnsi="Times New Roman" w:eastAsia="仿宋" w:cs="Times New Roman"/>
          <w:spacing w:val="0"/>
          <w:kern w:val="0"/>
          <w:sz w:val="32"/>
          <w:szCs w:val="32"/>
          <w:lang w:val="en-US" w:eastAsia="zh-CN"/>
        </w:rPr>
        <w:t>0.2</w:t>
      </w:r>
      <w:r>
        <w:rPr>
          <w:rFonts w:hint="default" w:ascii="Times New Roman" w:hAnsi="Times New Roman" w:eastAsia="仿宋" w:cs="Times New Roman"/>
          <w:spacing w:val="0"/>
          <w:kern w:val="0"/>
          <w:sz w:val="32"/>
          <w:szCs w:val="32"/>
          <w:lang w:val="en-US" w:eastAsia="zh-CN"/>
        </w:rPr>
        <w:t>%。主要是</w:t>
      </w:r>
      <w:r>
        <w:rPr>
          <w:rFonts w:hint="eastAsia" w:ascii="Times New Roman" w:hAnsi="Times New Roman" w:eastAsia="仿宋" w:cs="Times New Roman"/>
          <w:spacing w:val="0"/>
          <w:kern w:val="0"/>
          <w:sz w:val="32"/>
          <w:szCs w:val="32"/>
          <w:lang w:val="en-US" w:eastAsia="zh-CN"/>
        </w:rPr>
        <w:t>坚持精打细算过紧日子，严控公务用车运行费开支</w:t>
      </w:r>
      <w:r>
        <w:rPr>
          <w:rFonts w:hint="default" w:ascii="Times New Roman" w:hAnsi="Times New Roman" w:eastAsia="仿宋" w:cs="Times New Roman"/>
          <w:spacing w:val="0"/>
          <w:kern w:val="0"/>
          <w:sz w:val="32"/>
          <w:szCs w:val="32"/>
          <w:lang w:val="en-US" w:eastAsia="zh-CN"/>
        </w:rPr>
        <w:t>。截至2023年12月31日，本单位公务用车保有量为</w:t>
      </w:r>
      <w:r>
        <w:rPr>
          <w:rFonts w:hint="eastAsia" w:ascii="Times New Roman" w:hAnsi="Times New Roman" w:eastAsia="仿宋" w:cs="Times New Roman"/>
          <w:spacing w:val="0"/>
          <w:kern w:val="0"/>
          <w:sz w:val="32"/>
          <w:szCs w:val="32"/>
          <w:lang w:val="en-US" w:eastAsia="zh-CN"/>
        </w:rPr>
        <w:t>6</w:t>
      </w:r>
      <w:r>
        <w:rPr>
          <w:rFonts w:hint="default" w:ascii="Times New Roman" w:hAnsi="Times New Roman" w:eastAsia="仿宋" w:cs="Times New Roman"/>
          <w:spacing w:val="0"/>
          <w:kern w:val="0"/>
          <w:sz w:val="32"/>
          <w:szCs w:val="32"/>
          <w:lang w:val="en-US" w:eastAsia="zh-CN"/>
        </w:rPr>
        <w:t>辆。</w:t>
      </w:r>
    </w:p>
    <w:p w14:paraId="53F141D6">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（三）公务接待费支出</w:t>
      </w:r>
      <w:r>
        <w:rPr>
          <w:rFonts w:hint="eastAsia" w:ascii="Times New Roman" w:hAnsi="Times New Roman" w:eastAsia="仿宋" w:cs="Times New Roman"/>
          <w:spacing w:val="0"/>
          <w:kern w:val="0"/>
          <w:sz w:val="32"/>
          <w:szCs w:val="32"/>
          <w:lang w:val="en-US" w:eastAsia="zh-CN"/>
        </w:rPr>
        <w:t>0.16</w:t>
      </w:r>
      <w:r>
        <w:rPr>
          <w:rFonts w:hint="default" w:ascii="Times New Roman" w:hAnsi="Times New Roman" w:eastAsia="仿宋" w:cs="Times New Roman"/>
          <w:spacing w:val="0"/>
          <w:kern w:val="0"/>
          <w:sz w:val="32"/>
          <w:szCs w:val="32"/>
          <w:lang w:val="en-US" w:eastAsia="zh-CN"/>
        </w:rPr>
        <w:t>万元，完成全年预算的</w:t>
      </w:r>
      <w:r>
        <w:rPr>
          <w:rFonts w:hint="eastAsia" w:ascii="Times New Roman" w:hAnsi="Times New Roman" w:eastAsia="仿宋" w:cs="Times New Roman"/>
          <w:spacing w:val="0"/>
          <w:kern w:val="0"/>
          <w:sz w:val="32"/>
          <w:szCs w:val="32"/>
          <w:lang w:val="en-US" w:eastAsia="zh-CN"/>
        </w:rPr>
        <w:t>5.33</w:t>
      </w:r>
      <w:r>
        <w:rPr>
          <w:rFonts w:hint="default" w:ascii="Times New Roman" w:hAnsi="Times New Roman" w:eastAsia="仿宋" w:cs="Times New Roman"/>
          <w:spacing w:val="0"/>
          <w:kern w:val="0"/>
          <w:sz w:val="32"/>
          <w:szCs w:val="32"/>
          <w:lang w:val="en-US" w:eastAsia="zh-CN"/>
        </w:rPr>
        <w:t>%；较上年减少</w:t>
      </w:r>
      <w:r>
        <w:rPr>
          <w:rFonts w:hint="eastAsia" w:ascii="Times New Roman" w:hAnsi="Times New Roman" w:eastAsia="仿宋" w:cs="Times New Roman"/>
          <w:spacing w:val="0"/>
          <w:kern w:val="0"/>
          <w:sz w:val="32"/>
          <w:szCs w:val="32"/>
          <w:lang w:val="en-US" w:eastAsia="zh-CN"/>
        </w:rPr>
        <w:t>0.02</w:t>
      </w:r>
      <w:r>
        <w:rPr>
          <w:rFonts w:hint="default" w:ascii="Times New Roman" w:hAnsi="Times New Roman" w:eastAsia="仿宋" w:cs="Times New Roman"/>
          <w:spacing w:val="0"/>
          <w:kern w:val="0"/>
          <w:sz w:val="32"/>
          <w:szCs w:val="32"/>
          <w:lang w:val="en-US" w:eastAsia="zh-CN"/>
        </w:rPr>
        <w:t>万元，降低</w:t>
      </w:r>
      <w:r>
        <w:rPr>
          <w:rFonts w:hint="eastAsia" w:ascii="Times New Roman" w:hAnsi="Times New Roman" w:eastAsia="仿宋" w:cs="Times New Roman"/>
          <w:spacing w:val="0"/>
          <w:kern w:val="0"/>
          <w:sz w:val="32"/>
          <w:szCs w:val="32"/>
          <w:lang w:val="en-US" w:eastAsia="zh-CN"/>
        </w:rPr>
        <w:t>11.11</w:t>
      </w:r>
      <w:r>
        <w:rPr>
          <w:rFonts w:hint="default" w:ascii="Times New Roman" w:hAnsi="Times New Roman" w:eastAsia="仿宋" w:cs="Times New Roman"/>
          <w:spacing w:val="0"/>
          <w:kern w:val="0"/>
          <w:sz w:val="32"/>
          <w:szCs w:val="32"/>
          <w:lang w:val="en-US" w:eastAsia="zh-CN"/>
        </w:rPr>
        <w:t>%。主要是</w:t>
      </w:r>
      <w:r>
        <w:rPr>
          <w:rFonts w:hint="eastAsia" w:ascii="Times New Roman" w:hAnsi="Times New Roman" w:eastAsia="仿宋" w:cs="Times New Roman"/>
          <w:spacing w:val="0"/>
          <w:kern w:val="0"/>
          <w:sz w:val="32"/>
          <w:szCs w:val="32"/>
          <w:lang w:val="en-US" w:eastAsia="zh-CN"/>
        </w:rPr>
        <w:t>严格执行八项规定，严控公务接待费支出</w:t>
      </w:r>
      <w:r>
        <w:rPr>
          <w:rFonts w:hint="default" w:ascii="Times New Roman" w:hAnsi="Times New Roman" w:eastAsia="仿宋" w:cs="Times New Roman"/>
          <w:spacing w:val="0"/>
          <w:kern w:val="0"/>
          <w:sz w:val="32"/>
          <w:szCs w:val="32"/>
          <w:lang w:val="en-US" w:eastAsia="zh-CN"/>
        </w:rPr>
        <w:t>。累计接待</w:t>
      </w:r>
      <w:r>
        <w:rPr>
          <w:rFonts w:hint="eastAsia" w:ascii="Times New Roman" w:hAnsi="Times New Roman" w:eastAsia="仿宋" w:cs="Times New Roman"/>
          <w:spacing w:val="0"/>
          <w:kern w:val="0"/>
          <w:sz w:val="32"/>
          <w:szCs w:val="32"/>
          <w:lang w:val="en-US" w:eastAsia="zh-CN"/>
        </w:rPr>
        <w:t>1</w:t>
      </w:r>
      <w:r>
        <w:rPr>
          <w:rFonts w:hint="default" w:ascii="Times New Roman" w:hAnsi="Times New Roman" w:eastAsia="仿宋" w:cs="Times New Roman"/>
          <w:spacing w:val="0"/>
          <w:kern w:val="0"/>
          <w:sz w:val="32"/>
          <w:szCs w:val="32"/>
          <w:lang w:val="en-US" w:eastAsia="zh-CN"/>
        </w:rPr>
        <w:t>批次、</w:t>
      </w:r>
      <w:r>
        <w:rPr>
          <w:rFonts w:hint="eastAsia" w:ascii="Times New Roman" w:hAnsi="Times New Roman" w:eastAsia="仿宋" w:cs="Times New Roman"/>
          <w:spacing w:val="0"/>
          <w:kern w:val="0"/>
          <w:sz w:val="32"/>
          <w:szCs w:val="32"/>
          <w:lang w:val="en-US" w:eastAsia="zh-CN"/>
        </w:rPr>
        <w:t>9</w:t>
      </w:r>
      <w:r>
        <w:rPr>
          <w:rFonts w:hint="default" w:ascii="Times New Roman" w:hAnsi="Times New Roman" w:eastAsia="仿宋" w:cs="Times New Roman"/>
          <w:spacing w:val="0"/>
          <w:kern w:val="0"/>
          <w:sz w:val="32"/>
          <w:szCs w:val="32"/>
          <w:lang w:val="en-US" w:eastAsia="zh-CN"/>
        </w:rPr>
        <w:t>人次。</w:t>
      </w:r>
    </w:p>
    <w:p w14:paraId="60714A21">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八、预算绩效情况说明</w:t>
      </w:r>
    </w:p>
    <w:p w14:paraId="1ABFF967">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根据预算绩效管理要求，本单位组织对2023年度</w:t>
      </w:r>
      <w:r>
        <w:rPr>
          <w:rFonts w:hint="eastAsia" w:ascii="Times New Roman" w:hAnsi="Times New Roman" w:eastAsia="仿宋" w:cs="Times New Roman"/>
          <w:spacing w:val="0"/>
          <w:kern w:val="0"/>
          <w:sz w:val="32"/>
          <w:szCs w:val="32"/>
          <w:lang w:val="en-US" w:eastAsia="zh-CN"/>
        </w:rPr>
        <w:t>3</w:t>
      </w:r>
      <w:r>
        <w:rPr>
          <w:rFonts w:hint="default" w:ascii="Times New Roman" w:hAnsi="Times New Roman" w:eastAsia="仿宋" w:cs="Times New Roman"/>
          <w:spacing w:val="0"/>
          <w:kern w:val="0"/>
          <w:sz w:val="32"/>
          <w:szCs w:val="32"/>
          <w:lang w:val="en-US" w:eastAsia="zh-CN"/>
        </w:rPr>
        <w:t>个项目实施单位自评，分别是</w:t>
      </w:r>
      <w:r>
        <w:rPr>
          <w:rFonts w:hint="eastAsia" w:ascii="Times New Roman" w:hAnsi="Times New Roman" w:eastAsia="仿宋" w:cs="Times New Roman"/>
          <w:spacing w:val="0"/>
          <w:kern w:val="0"/>
          <w:sz w:val="32"/>
          <w:szCs w:val="32"/>
          <w:lang w:val="en-US" w:eastAsia="zh-CN"/>
        </w:rPr>
        <w:t>800处群专结合地质灾害监测预警实验、机关社保统筹外、在职人员定额补助</w:t>
      </w:r>
      <w:r>
        <w:rPr>
          <w:rFonts w:hint="default" w:ascii="Times New Roman" w:hAnsi="Times New Roman" w:eastAsia="仿宋" w:cs="Times New Roman"/>
          <w:spacing w:val="0"/>
          <w:kern w:val="0"/>
          <w:sz w:val="32"/>
          <w:szCs w:val="32"/>
          <w:lang w:val="en-US" w:eastAsia="zh-CN"/>
        </w:rPr>
        <w:t>项目，涉及财政拨款资金共计</w:t>
      </w:r>
      <w:r>
        <w:rPr>
          <w:rFonts w:hint="eastAsia" w:ascii="Times New Roman" w:hAnsi="Times New Roman" w:eastAsia="仿宋" w:cs="Times New Roman"/>
          <w:spacing w:val="0"/>
          <w:kern w:val="0"/>
          <w:sz w:val="32"/>
          <w:szCs w:val="32"/>
          <w:lang w:val="en-US" w:eastAsia="zh-CN"/>
        </w:rPr>
        <w:t>8418.1</w:t>
      </w:r>
      <w:r>
        <w:rPr>
          <w:rFonts w:hint="default" w:ascii="Times New Roman" w:hAnsi="Times New Roman" w:eastAsia="仿宋" w:cs="Times New Roman"/>
          <w:spacing w:val="0"/>
          <w:kern w:val="0"/>
          <w:sz w:val="32"/>
          <w:szCs w:val="32"/>
          <w:lang w:val="en-US" w:eastAsia="zh-CN"/>
        </w:rPr>
        <w:t>万元。（《项目支出绩效自评表》详见附件）</w:t>
      </w:r>
    </w:p>
    <w:p w14:paraId="39C731F7">
      <w:pPr>
        <w:pStyle w:val="28"/>
        <w:widowControl/>
        <w:spacing w:before="240" w:after="240" w:line="600" w:lineRule="atLeast"/>
        <w:jc w:val="left"/>
        <w:rPr>
          <w:rFonts w:ascii="Times New Roman" w:hAnsi="Times New Roman" w:eastAsia="Times New Roman" w:cs="Times New Roman"/>
          <w:kern w:val="0"/>
          <w:sz w:val="24"/>
          <w:highlight w:val="none"/>
        </w:rPr>
      </w:pPr>
      <w:r>
        <w:rPr>
          <w:rFonts w:ascii="黑体" w:hAnsi="黑体" w:eastAsia="黑体" w:cs="黑体"/>
          <w:kern w:val="0"/>
          <w:sz w:val="32"/>
          <w:szCs w:val="32"/>
          <w:highlight w:val="none"/>
        </w:rPr>
        <w:t>九、其他重要事项说明</w:t>
      </w:r>
    </w:p>
    <w:p w14:paraId="02DB60C9">
      <w:pPr>
        <w:pStyle w:val="28"/>
        <w:widowControl/>
        <w:spacing w:before="240" w:after="240" w:line="600" w:lineRule="atLeast"/>
        <w:ind w:firstLine="643"/>
        <w:jc w:val="left"/>
        <w:rPr>
          <w:rFonts w:ascii="Times New Roman" w:hAnsi="Times New Roman" w:eastAsia="Times New Roman" w:cs="Times New Roman"/>
          <w:kern w:val="0"/>
          <w:sz w:val="24"/>
          <w:highlight w:val="none"/>
        </w:rPr>
      </w:pPr>
      <w:r>
        <w:rPr>
          <w:rFonts w:ascii="楷体" w:hAnsi="楷体" w:eastAsia="楷体" w:cs="楷体"/>
          <w:b/>
          <w:bCs/>
          <w:kern w:val="0"/>
          <w:sz w:val="32"/>
          <w:szCs w:val="32"/>
          <w:highlight w:val="none"/>
        </w:rPr>
        <w:t>（一）机关运行经费</w:t>
      </w:r>
      <w:r>
        <w:rPr>
          <w:rFonts w:ascii="黑体" w:hAnsi="黑体" w:eastAsia="黑体" w:cs="黑体"/>
          <w:kern w:val="0"/>
          <w:sz w:val="32"/>
          <w:szCs w:val="32"/>
          <w:highlight w:val="none"/>
        </w:rPr>
        <w:t> </w:t>
      </w:r>
    </w:p>
    <w:p w14:paraId="665FC3B6">
      <w:pPr>
        <w:pStyle w:val="28"/>
        <w:widowControl/>
        <w:spacing w:before="240" w:after="240"/>
        <w:ind w:firstLine="640"/>
        <w:jc w:val="left"/>
        <w:rPr>
          <w:rFonts w:hint="default" w:ascii="Times New Roman" w:hAnsi="Times New Roman" w:eastAsia="仿宋" w:cs="Times New Roman"/>
          <w:spacing w:val="0"/>
          <w:kern w:val="0"/>
          <w:sz w:val="32"/>
          <w:szCs w:val="32"/>
          <w:lang w:val="en-US" w:eastAsia="zh-CN"/>
        </w:rPr>
      </w:pPr>
      <w:r>
        <w:rPr>
          <w:rFonts w:hint="default" w:ascii="Times New Roman" w:hAnsi="Times New Roman" w:eastAsia="仿宋" w:cs="Times New Roman"/>
          <w:spacing w:val="0"/>
          <w:kern w:val="0"/>
          <w:sz w:val="32"/>
          <w:szCs w:val="32"/>
          <w:lang w:val="en-US" w:eastAsia="zh-CN"/>
        </w:rPr>
        <w:t>本单位为事业单位没有机关运行经费。</w:t>
      </w:r>
    </w:p>
    <w:p w14:paraId="64B36E94">
      <w:pPr>
        <w:pStyle w:val="28"/>
        <w:widowControl/>
        <w:spacing w:before="240" w:after="240" w:line="600" w:lineRule="atLeast"/>
        <w:ind w:firstLine="643"/>
        <w:jc w:val="left"/>
        <w:rPr>
          <w:rFonts w:ascii="Times New Roman" w:hAnsi="Times New Roman" w:eastAsia="Times New Roman" w:cs="Times New Roman"/>
          <w:kern w:val="0"/>
          <w:sz w:val="24"/>
          <w:highlight w:val="none"/>
        </w:rPr>
      </w:pPr>
      <w:r>
        <w:rPr>
          <w:rFonts w:ascii="楷体" w:hAnsi="楷体" w:eastAsia="楷体" w:cs="楷体"/>
          <w:b/>
          <w:bCs/>
          <w:kern w:val="0"/>
          <w:sz w:val="32"/>
          <w:szCs w:val="32"/>
          <w:highlight w:val="none"/>
        </w:rPr>
        <w:t>（二）政府采购情况</w:t>
      </w:r>
    </w:p>
    <w:p w14:paraId="71D373A9">
      <w:pPr>
        <w:pStyle w:val="28"/>
        <w:widowControl/>
        <w:spacing w:before="240" w:after="240" w:line="600" w:lineRule="atLeast"/>
        <w:ind w:firstLine="640"/>
        <w:jc w:val="left"/>
        <w:rPr>
          <w:rFonts w:ascii="Times New Roman" w:hAnsi="Times New Roman" w:eastAsia="Times New Roman" w:cs="Times New Roman"/>
          <w:kern w:val="0"/>
          <w:sz w:val="24"/>
          <w:highlight w:val="none"/>
        </w:rPr>
      </w:pPr>
      <w:r>
        <w:rPr>
          <w:rFonts w:hint="default" w:ascii="Times New Roman" w:hAnsi="Times New Roman" w:eastAsia="仿宋" w:cs="Times New Roman"/>
          <w:spacing w:val="0"/>
          <w:kern w:val="0"/>
          <w:sz w:val="32"/>
          <w:szCs w:val="32"/>
          <w:lang w:val="en-US" w:eastAsia="zh-CN"/>
        </w:rPr>
        <w:t>本单位2023年度政府采购支出总额</w:t>
      </w:r>
      <w:r>
        <w:rPr>
          <w:rFonts w:hint="eastAsia" w:ascii="Times New Roman" w:hAnsi="Times New Roman" w:eastAsia="仿宋" w:cs="Times New Roman"/>
          <w:spacing w:val="0"/>
          <w:kern w:val="0"/>
          <w:sz w:val="32"/>
          <w:szCs w:val="32"/>
          <w:lang w:val="en-US" w:eastAsia="zh-CN"/>
        </w:rPr>
        <w:t>3683.99</w:t>
      </w:r>
      <w:r>
        <w:rPr>
          <w:rFonts w:hint="default" w:ascii="Times New Roman" w:hAnsi="Times New Roman" w:eastAsia="仿宋" w:cs="Times New Roman"/>
          <w:spacing w:val="0"/>
          <w:kern w:val="0"/>
          <w:sz w:val="32"/>
          <w:szCs w:val="32"/>
          <w:lang w:val="en-US" w:eastAsia="zh-CN"/>
        </w:rPr>
        <w:t>万元，其中：政府采购货物支出</w:t>
      </w:r>
      <w:r>
        <w:rPr>
          <w:rFonts w:hint="eastAsia" w:ascii="Times New Roman" w:hAnsi="Times New Roman" w:eastAsia="仿宋" w:cs="Times New Roman"/>
          <w:spacing w:val="0"/>
          <w:kern w:val="0"/>
          <w:sz w:val="32"/>
          <w:szCs w:val="32"/>
          <w:lang w:val="en-US" w:eastAsia="zh-CN"/>
        </w:rPr>
        <w:t>1053.47</w:t>
      </w:r>
      <w:r>
        <w:rPr>
          <w:rFonts w:hint="default" w:ascii="Times New Roman" w:hAnsi="Times New Roman" w:eastAsia="仿宋" w:cs="Times New Roman"/>
          <w:spacing w:val="0"/>
          <w:kern w:val="0"/>
          <w:sz w:val="32"/>
          <w:szCs w:val="32"/>
          <w:lang w:val="en-US" w:eastAsia="zh-CN"/>
        </w:rPr>
        <w:t>万元、政府采购工程支出0万元、政府采购服务支出</w:t>
      </w:r>
      <w:r>
        <w:rPr>
          <w:rFonts w:hint="eastAsia" w:ascii="Times New Roman" w:hAnsi="Times New Roman" w:eastAsia="仿宋" w:cs="Times New Roman"/>
          <w:spacing w:val="0"/>
          <w:kern w:val="0"/>
          <w:sz w:val="32"/>
          <w:szCs w:val="32"/>
          <w:lang w:val="en-US" w:eastAsia="zh-CN"/>
        </w:rPr>
        <w:t>2630.52</w:t>
      </w:r>
      <w:r>
        <w:rPr>
          <w:rFonts w:hint="default" w:ascii="Times New Roman" w:hAnsi="Times New Roman" w:eastAsia="仿宋" w:cs="Times New Roman"/>
          <w:spacing w:val="0"/>
          <w:kern w:val="0"/>
          <w:sz w:val="32"/>
          <w:szCs w:val="32"/>
          <w:lang w:val="en-US" w:eastAsia="zh-CN"/>
        </w:rPr>
        <w:t>万元。授予中小企业合同金额</w:t>
      </w:r>
      <w:r>
        <w:rPr>
          <w:rFonts w:hint="eastAsia" w:ascii="Times New Roman" w:hAnsi="Times New Roman" w:eastAsia="仿宋" w:cs="Times New Roman"/>
          <w:spacing w:val="0"/>
          <w:kern w:val="0"/>
          <w:sz w:val="32"/>
          <w:szCs w:val="32"/>
          <w:lang w:val="en-US" w:eastAsia="zh-CN"/>
        </w:rPr>
        <w:t>3210.75</w:t>
      </w:r>
      <w:r>
        <w:rPr>
          <w:rFonts w:hint="default" w:ascii="Times New Roman" w:hAnsi="Times New Roman" w:eastAsia="仿宋" w:cs="Times New Roman"/>
          <w:spacing w:val="0"/>
          <w:kern w:val="0"/>
          <w:sz w:val="32"/>
          <w:szCs w:val="32"/>
          <w:lang w:val="en-US" w:eastAsia="zh-CN"/>
        </w:rPr>
        <w:t>万元，占政府采购支出总额的</w:t>
      </w:r>
      <w:r>
        <w:rPr>
          <w:rFonts w:hint="eastAsia" w:ascii="Times New Roman" w:hAnsi="Times New Roman" w:eastAsia="仿宋" w:cs="Times New Roman"/>
          <w:spacing w:val="0"/>
          <w:kern w:val="0"/>
          <w:sz w:val="32"/>
          <w:szCs w:val="32"/>
          <w:lang w:val="en-US" w:eastAsia="zh-CN"/>
        </w:rPr>
        <w:t>87.15</w:t>
      </w:r>
      <w:r>
        <w:rPr>
          <w:rFonts w:hint="default" w:ascii="Times New Roman" w:hAnsi="Times New Roman" w:eastAsia="仿宋" w:cs="Times New Roman"/>
          <w:spacing w:val="0"/>
          <w:kern w:val="0"/>
          <w:sz w:val="32"/>
          <w:szCs w:val="32"/>
          <w:lang w:val="en-US" w:eastAsia="zh-CN"/>
        </w:rPr>
        <w:t>%，其中：授予小微企业合同金额</w:t>
      </w:r>
      <w:r>
        <w:rPr>
          <w:rFonts w:hint="eastAsia" w:ascii="Times New Roman" w:hAnsi="Times New Roman" w:eastAsia="仿宋" w:cs="Times New Roman"/>
          <w:spacing w:val="0"/>
          <w:kern w:val="0"/>
          <w:sz w:val="32"/>
          <w:szCs w:val="32"/>
          <w:lang w:val="en-US" w:eastAsia="zh-CN"/>
        </w:rPr>
        <w:t>1575.95</w:t>
      </w:r>
      <w:r>
        <w:rPr>
          <w:rFonts w:hint="default" w:ascii="Times New Roman" w:hAnsi="Times New Roman" w:eastAsia="仿宋" w:cs="Times New Roman"/>
          <w:spacing w:val="0"/>
          <w:kern w:val="0"/>
          <w:sz w:val="32"/>
          <w:szCs w:val="32"/>
          <w:lang w:val="en-US" w:eastAsia="zh-CN"/>
        </w:rPr>
        <w:t>万元，占授予中小企业合同金额的</w:t>
      </w:r>
      <w:r>
        <w:rPr>
          <w:rFonts w:hint="eastAsia" w:ascii="Times New Roman" w:hAnsi="Times New Roman" w:eastAsia="仿宋" w:cs="Times New Roman"/>
          <w:spacing w:val="0"/>
          <w:kern w:val="0"/>
          <w:sz w:val="32"/>
          <w:szCs w:val="32"/>
          <w:lang w:val="en-US" w:eastAsia="zh-CN"/>
        </w:rPr>
        <w:t>49.08</w:t>
      </w:r>
      <w:r>
        <w:rPr>
          <w:rFonts w:hint="default" w:ascii="Times New Roman" w:hAnsi="Times New Roman" w:eastAsia="仿宋" w:cs="Times New Roman"/>
          <w:spacing w:val="0"/>
          <w:kern w:val="0"/>
          <w:sz w:val="32"/>
          <w:szCs w:val="32"/>
          <w:lang w:val="en-US" w:eastAsia="zh-CN"/>
        </w:rPr>
        <w:t>%。</w:t>
      </w:r>
    </w:p>
    <w:p w14:paraId="5F64DA1D">
      <w:pPr>
        <w:pStyle w:val="28"/>
        <w:widowControl/>
        <w:spacing w:before="240" w:after="240" w:line="600" w:lineRule="atLeast"/>
        <w:ind w:firstLine="707"/>
        <w:jc w:val="left"/>
        <w:rPr>
          <w:rFonts w:ascii="Times New Roman" w:hAnsi="Times New Roman" w:eastAsia="Times New Roman" w:cs="Times New Roman"/>
          <w:kern w:val="0"/>
          <w:sz w:val="24"/>
          <w:highlight w:val="none"/>
        </w:rPr>
      </w:pPr>
      <w:r>
        <w:rPr>
          <w:rFonts w:ascii="楷体" w:hAnsi="楷体" w:eastAsia="楷体" w:cs="楷体"/>
          <w:b/>
          <w:bCs/>
          <w:kern w:val="0"/>
          <w:sz w:val="32"/>
          <w:szCs w:val="32"/>
          <w:highlight w:val="none"/>
        </w:rPr>
        <w:t>（三）国有资产占用使用情况</w:t>
      </w:r>
      <w:r>
        <w:rPr>
          <w:rFonts w:ascii="黑体" w:hAnsi="黑体" w:eastAsia="黑体" w:cs="黑体"/>
          <w:kern w:val="0"/>
          <w:sz w:val="32"/>
          <w:szCs w:val="32"/>
          <w:highlight w:val="none"/>
        </w:rPr>
        <w:t> </w:t>
      </w:r>
    </w:p>
    <w:p w14:paraId="7E052E25">
      <w:pPr>
        <w:pStyle w:val="28"/>
        <w:widowControl/>
        <w:spacing w:before="240" w:after="240" w:line="600" w:lineRule="atLeast"/>
        <w:ind w:firstLine="704"/>
        <w:jc w:val="left"/>
        <w:rPr>
          <w:rFonts w:ascii="Times New Roman" w:hAnsi="Times New Roman" w:eastAsia="Times New Roman" w:cs="Times New Roman"/>
          <w:kern w:val="0"/>
          <w:sz w:val="24"/>
        </w:rPr>
      </w:pPr>
      <w:r>
        <w:rPr>
          <w:rFonts w:hint="default" w:ascii="Times New Roman" w:hAnsi="Times New Roman" w:eastAsia="仿宋" w:cs="Times New Roman"/>
          <w:spacing w:val="0"/>
          <w:kern w:val="0"/>
          <w:sz w:val="32"/>
          <w:szCs w:val="32"/>
          <w:lang w:val="en-US" w:eastAsia="zh-CN"/>
        </w:rPr>
        <w:t>截至2023年12月31日，本单位共有车辆6 辆，其中：特种专业技术用车6辆、其他用车3辆，其他用车主要是单位一般用车；单位价值100万元以上设备（不含车辆）0台（套）。</w:t>
      </w:r>
      <w:r>
        <w:rPr>
          <w:rFonts w:ascii="仿宋" w:hAnsi="仿宋" w:eastAsia="仿宋" w:cs="仿宋"/>
          <w:kern w:val="0"/>
          <w:sz w:val="32"/>
          <w:szCs w:val="32"/>
        </w:rPr>
        <w:t> </w:t>
      </w:r>
    </w:p>
    <w:p w14:paraId="0F68FAD2">
      <w:pPr>
        <w:pStyle w:val="28"/>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 </w:t>
      </w:r>
    </w:p>
    <w:p w14:paraId="1A626158">
      <w:pPr>
        <w:pStyle w:val="28"/>
        <w:widowControl/>
        <w:spacing w:before="240" w:after="240"/>
        <w:jc w:val="center"/>
        <w:rPr>
          <w:rFonts w:ascii="黑体" w:hAnsi="黑体" w:eastAsia="黑体" w:cs="黑体"/>
          <w:kern w:val="0"/>
          <w:sz w:val="56"/>
          <w:szCs w:val="56"/>
        </w:rPr>
      </w:pPr>
      <w:r>
        <w:rPr>
          <w:rFonts w:ascii="黑体" w:hAnsi="黑体" w:eastAsia="黑体" w:cs="黑体"/>
          <w:kern w:val="0"/>
          <w:sz w:val="56"/>
          <w:szCs w:val="56"/>
        </w:rPr>
        <w:t> </w:t>
      </w:r>
    </w:p>
    <w:p w14:paraId="5A2CD4B6">
      <w:pPr>
        <w:pStyle w:val="28"/>
        <w:widowControl/>
        <w:spacing w:before="240" w:after="240"/>
        <w:jc w:val="center"/>
        <w:rPr>
          <w:rFonts w:ascii="黑体" w:hAnsi="黑体" w:eastAsia="黑体" w:cs="黑体"/>
          <w:kern w:val="0"/>
          <w:sz w:val="56"/>
          <w:szCs w:val="56"/>
        </w:rPr>
      </w:pPr>
    </w:p>
    <w:p w14:paraId="0FAF1612">
      <w:pPr>
        <w:pStyle w:val="28"/>
        <w:widowControl/>
        <w:spacing w:before="240" w:after="240"/>
        <w:jc w:val="center"/>
        <w:rPr>
          <w:rFonts w:ascii="黑体" w:hAnsi="黑体" w:eastAsia="黑体" w:cs="黑体"/>
          <w:kern w:val="0"/>
          <w:sz w:val="56"/>
          <w:szCs w:val="56"/>
        </w:rPr>
      </w:pPr>
    </w:p>
    <w:p w14:paraId="35AEAB2D">
      <w:pPr>
        <w:pStyle w:val="28"/>
        <w:widowControl/>
        <w:spacing w:before="240" w:after="240"/>
        <w:jc w:val="center"/>
        <w:rPr>
          <w:rFonts w:ascii="黑体" w:hAnsi="黑体" w:eastAsia="黑体" w:cs="黑体"/>
          <w:kern w:val="0"/>
          <w:sz w:val="56"/>
          <w:szCs w:val="56"/>
        </w:rPr>
      </w:pPr>
    </w:p>
    <w:p w14:paraId="19EFF046">
      <w:pPr>
        <w:pStyle w:val="28"/>
        <w:widowControl/>
        <w:spacing w:before="240" w:after="240"/>
        <w:jc w:val="center"/>
        <w:rPr>
          <w:rFonts w:ascii="黑体" w:hAnsi="黑体" w:eastAsia="黑体" w:cs="黑体"/>
          <w:kern w:val="0"/>
          <w:sz w:val="56"/>
          <w:szCs w:val="56"/>
        </w:rPr>
      </w:pPr>
    </w:p>
    <w:p w14:paraId="4978338E">
      <w:pPr>
        <w:pStyle w:val="28"/>
        <w:widowControl/>
        <w:spacing w:before="240" w:after="240"/>
        <w:jc w:val="center"/>
        <w:rPr>
          <w:rFonts w:ascii="黑体" w:hAnsi="黑体" w:eastAsia="黑体" w:cs="黑体"/>
          <w:kern w:val="0"/>
          <w:sz w:val="56"/>
          <w:szCs w:val="56"/>
        </w:rPr>
      </w:pPr>
    </w:p>
    <w:p w14:paraId="531D3F4C">
      <w:pPr>
        <w:pStyle w:val="28"/>
        <w:widowControl/>
        <w:spacing w:before="240" w:after="240"/>
        <w:jc w:val="center"/>
        <w:rPr>
          <w:rFonts w:ascii="黑体" w:hAnsi="黑体" w:eastAsia="黑体" w:cs="黑体"/>
          <w:kern w:val="0"/>
          <w:sz w:val="56"/>
          <w:szCs w:val="56"/>
        </w:rPr>
      </w:pPr>
    </w:p>
    <w:p w14:paraId="6B0CCACE">
      <w:pPr>
        <w:pStyle w:val="28"/>
        <w:widowControl/>
        <w:spacing w:before="240" w:after="240"/>
        <w:jc w:val="center"/>
        <w:rPr>
          <w:rFonts w:ascii="黑体" w:hAnsi="黑体" w:eastAsia="黑体" w:cs="黑体"/>
          <w:kern w:val="0"/>
          <w:sz w:val="56"/>
          <w:szCs w:val="56"/>
        </w:rPr>
      </w:pPr>
    </w:p>
    <w:p w14:paraId="06A9CF1C">
      <w:pPr>
        <w:pStyle w:val="28"/>
        <w:widowControl/>
        <w:spacing w:before="240" w:after="240"/>
        <w:jc w:val="center"/>
        <w:rPr>
          <w:rFonts w:ascii="黑体" w:hAnsi="黑体" w:eastAsia="黑体" w:cs="黑体"/>
          <w:kern w:val="0"/>
          <w:sz w:val="56"/>
          <w:szCs w:val="56"/>
        </w:rPr>
      </w:pPr>
    </w:p>
    <w:p w14:paraId="295098D8">
      <w:pPr>
        <w:pStyle w:val="28"/>
        <w:widowControl/>
        <w:spacing w:before="240" w:after="240"/>
        <w:jc w:val="center"/>
        <w:rPr>
          <w:rFonts w:ascii="黑体" w:hAnsi="黑体" w:eastAsia="黑体" w:cs="黑体"/>
          <w:kern w:val="0"/>
          <w:sz w:val="56"/>
          <w:szCs w:val="56"/>
        </w:rPr>
      </w:pPr>
    </w:p>
    <w:p w14:paraId="058C8296">
      <w:pPr>
        <w:pStyle w:val="28"/>
        <w:widowControl/>
        <w:spacing w:before="240" w:after="240"/>
        <w:jc w:val="center"/>
        <w:rPr>
          <w:rFonts w:ascii="黑体" w:hAnsi="黑体" w:eastAsia="黑体" w:cs="黑体"/>
          <w:kern w:val="0"/>
          <w:sz w:val="56"/>
          <w:szCs w:val="56"/>
        </w:rPr>
      </w:pPr>
    </w:p>
    <w:p w14:paraId="32BF75C9">
      <w:pPr>
        <w:pStyle w:val="28"/>
        <w:widowControl/>
        <w:spacing w:before="240" w:after="240"/>
        <w:jc w:val="center"/>
        <w:rPr>
          <w:rFonts w:ascii="黑体" w:hAnsi="黑体" w:eastAsia="黑体" w:cs="黑体"/>
          <w:kern w:val="0"/>
          <w:sz w:val="56"/>
          <w:szCs w:val="56"/>
        </w:rPr>
      </w:pPr>
    </w:p>
    <w:p w14:paraId="667B0D87">
      <w:pPr>
        <w:pStyle w:val="28"/>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第四部分</w:t>
      </w:r>
    </w:p>
    <w:p w14:paraId="73EC20D0">
      <w:pPr>
        <w:pStyle w:val="28"/>
        <w:widowControl/>
        <w:spacing w:before="240" w:after="240"/>
        <w:jc w:val="center"/>
        <w:rPr>
          <w:rFonts w:ascii="Times New Roman" w:hAnsi="Times New Roman" w:eastAsia="Times New Roman" w:cs="Times New Roman"/>
          <w:kern w:val="0"/>
          <w:sz w:val="24"/>
        </w:rPr>
      </w:pPr>
      <w:r>
        <w:rPr>
          <w:rFonts w:ascii="黑体" w:hAnsi="黑体" w:eastAsia="黑体" w:cs="黑体"/>
          <w:kern w:val="0"/>
          <w:sz w:val="56"/>
          <w:szCs w:val="56"/>
        </w:rPr>
        <w:t>名词解释</w:t>
      </w:r>
    </w:p>
    <w:p w14:paraId="0FBF7F7D">
      <w:pPr>
        <w:pStyle w:val="28"/>
        <w:widowControl/>
        <w:spacing w:before="240" w:after="240" w:line="600" w:lineRule="atLeast"/>
        <w:ind w:firstLine="710"/>
        <w:jc w:val="left"/>
        <w:rPr>
          <w:rFonts w:ascii="仿宋" w:hAnsi="仿宋" w:eastAsia="仿宋" w:cs="仿宋"/>
          <w:b/>
          <w:bCs/>
          <w:kern w:val="0"/>
          <w:sz w:val="32"/>
          <w:szCs w:val="32"/>
        </w:rPr>
      </w:pPr>
    </w:p>
    <w:p w14:paraId="44ABA5D8">
      <w:pPr>
        <w:pStyle w:val="28"/>
        <w:widowControl/>
        <w:spacing w:before="240" w:after="240" w:line="600" w:lineRule="atLeast"/>
        <w:ind w:firstLine="710"/>
        <w:jc w:val="left"/>
        <w:rPr>
          <w:rFonts w:ascii="仿宋" w:hAnsi="仿宋" w:eastAsia="仿宋" w:cs="仿宋"/>
          <w:b/>
          <w:bCs/>
          <w:kern w:val="0"/>
          <w:sz w:val="32"/>
          <w:szCs w:val="32"/>
        </w:rPr>
      </w:pPr>
    </w:p>
    <w:p w14:paraId="74F2634E">
      <w:pPr>
        <w:pStyle w:val="28"/>
        <w:widowControl/>
        <w:spacing w:before="240" w:after="240" w:line="600" w:lineRule="atLeast"/>
        <w:ind w:firstLine="710"/>
        <w:jc w:val="left"/>
        <w:rPr>
          <w:rFonts w:ascii="仿宋" w:hAnsi="仿宋" w:eastAsia="仿宋" w:cs="仿宋"/>
          <w:b/>
          <w:bCs/>
          <w:kern w:val="0"/>
          <w:sz w:val="32"/>
          <w:szCs w:val="32"/>
        </w:rPr>
      </w:pPr>
    </w:p>
    <w:p w14:paraId="330290BF">
      <w:pPr>
        <w:pStyle w:val="28"/>
        <w:widowControl/>
        <w:spacing w:before="240" w:after="240" w:line="600" w:lineRule="atLeast"/>
        <w:ind w:firstLine="710"/>
        <w:jc w:val="left"/>
        <w:rPr>
          <w:rFonts w:ascii="仿宋" w:hAnsi="仿宋" w:eastAsia="仿宋" w:cs="仿宋"/>
          <w:b/>
          <w:bCs/>
          <w:kern w:val="0"/>
          <w:sz w:val="32"/>
          <w:szCs w:val="32"/>
        </w:rPr>
      </w:pPr>
    </w:p>
    <w:p w14:paraId="4B68464B">
      <w:pPr>
        <w:pStyle w:val="28"/>
        <w:widowControl/>
        <w:spacing w:before="240" w:after="240" w:line="600" w:lineRule="atLeast"/>
        <w:ind w:firstLine="710"/>
        <w:jc w:val="left"/>
        <w:rPr>
          <w:rFonts w:ascii="仿宋" w:hAnsi="仿宋" w:eastAsia="仿宋" w:cs="仿宋"/>
          <w:b/>
          <w:bCs/>
          <w:kern w:val="0"/>
          <w:sz w:val="32"/>
          <w:szCs w:val="32"/>
        </w:rPr>
      </w:pPr>
    </w:p>
    <w:p w14:paraId="6946ECC7">
      <w:pPr>
        <w:pStyle w:val="28"/>
        <w:widowControl/>
        <w:spacing w:before="240" w:after="240" w:line="600" w:lineRule="atLeast"/>
        <w:ind w:firstLine="710"/>
        <w:jc w:val="left"/>
        <w:rPr>
          <w:rFonts w:ascii="Times New Roman" w:hAnsi="Times New Roman" w:eastAsia="Times New Roman" w:cs="Times New Roman"/>
          <w:kern w:val="0"/>
          <w:sz w:val="24"/>
        </w:rPr>
      </w:pPr>
      <w:r>
        <w:rPr>
          <w:rFonts w:ascii="仿宋" w:hAnsi="仿宋" w:eastAsia="仿宋" w:cs="仿宋"/>
          <w:b/>
          <w:bCs/>
          <w:kern w:val="0"/>
          <w:sz w:val="32"/>
          <w:szCs w:val="32"/>
        </w:rPr>
        <w:t>一、财政拨款收入：</w:t>
      </w:r>
      <w:r>
        <w:rPr>
          <w:rFonts w:ascii="仿宋" w:hAnsi="仿宋" w:eastAsia="仿宋" w:cs="仿宋"/>
          <w:kern w:val="0"/>
          <w:sz w:val="32"/>
          <w:szCs w:val="32"/>
        </w:rPr>
        <w:t>指单位从本级财政单位取得的财政预算资金，包括一般公共预算财政拨款、政府性基金预算财政拨款和国有资本经营预算财政拨款。</w:t>
      </w:r>
    </w:p>
    <w:p w14:paraId="28370717">
      <w:pPr>
        <w:pStyle w:val="28"/>
        <w:widowControl/>
        <w:spacing w:before="240" w:after="240" w:line="600" w:lineRule="atLeast"/>
        <w:ind w:firstLine="710"/>
        <w:jc w:val="left"/>
        <w:rPr>
          <w:rFonts w:ascii="Times New Roman" w:hAnsi="Times New Roman" w:eastAsia="Times New Roman" w:cs="Times New Roman"/>
          <w:kern w:val="0"/>
          <w:sz w:val="24"/>
        </w:rPr>
      </w:pPr>
      <w:r>
        <w:rPr>
          <w:rFonts w:ascii="仿宋" w:hAnsi="仿宋" w:eastAsia="仿宋" w:cs="仿宋"/>
          <w:b/>
          <w:bCs/>
          <w:kern w:val="0"/>
          <w:sz w:val="32"/>
          <w:szCs w:val="32"/>
        </w:rPr>
        <w:t>二、事业收入：</w:t>
      </w:r>
      <w:r>
        <w:rPr>
          <w:rFonts w:ascii="仿宋" w:hAnsi="仿宋" w:eastAsia="仿宋" w:cs="仿宋"/>
          <w:kern w:val="0"/>
          <w:sz w:val="32"/>
          <w:szCs w:val="32"/>
        </w:rPr>
        <w:t>指事业单位开展专业业务活动及辅助活动所取得的收入。</w:t>
      </w:r>
    </w:p>
    <w:p w14:paraId="1AD3DED8">
      <w:pPr>
        <w:pStyle w:val="28"/>
        <w:widowControl/>
        <w:spacing w:before="240" w:after="240" w:line="600" w:lineRule="atLeast"/>
        <w:ind w:firstLine="710"/>
        <w:jc w:val="left"/>
        <w:rPr>
          <w:rFonts w:ascii="Times New Roman" w:hAnsi="Times New Roman" w:eastAsia="Times New Roman" w:cs="Times New Roman"/>
          <w:kern w:val="0"/>
          <w:sz w:val="24"/>
        </w:rPr>
      </w:pPr>
      <w:r>
        <w:rPr>
          <w:rFonts w:ascii="仿宋" w:hAnsi="仿宋" w:eastAsia="仿宋" w:cs="仿宋"/>
          <w:b/>
          <w:bCs/>
          <w:kern w:val="0"/>
          <w:sz w:val="32"/>
          <w:szCs w:val="32"/>
        </w:rPr>
        <w:t>三、经营收入：</w:t>
      </w:r>
      <w:r>
        <w:rPr>
          <w:rFonts w:ascii="仿宋" w:hAnsi="仿宋" w:eastAsia="仿宋" w:cs="仿宋"/>
          <w:kern w:val="0"/>
          <w:sz w:val="32"/>
          <w:szCs w:val="32"/>
        </w:rPr>
        <w:t>指事业单位在专业业务活动及其辅助活动之外开展非独立核算经营活动取得的收入。</w:t>
      </w:r>
    </w:p>
    <w:p w14:paraId="2ECD30C7">
      <w:pPr>
        <w:pStyle w:val="28"/>
        <w:widowControl/>
        <w:spacing w:before="240" w:after="240" w:line="600" w:lineRule="atLeast"/>
        <w:ind w:firstLine="710"/>
        <w:jc w:val="left"/>
        <w:rPr>
          <w:rFonts w:ascii="Times New Roman" w:hAnsi="Times New Roman" w:eastAsia="Times New Roman" w:cs="Times New Roman"/>
          <w:kern w:val="0"/>
          <w:sz w:val="24"/>
        </w:rPr>
      </w:pPr>
      <w:r>
        <w:rPr>
          <w:rFonts w:ascii="仿宋" w:hAnsi="仿宋" w:eastAsia="仿宋" w:cs="仿宋"/>
          <w:b/>
          <w:bCs/>
          <w:kern w:val="0"/>
          <w:sz w:val="32"/>
          <w:szCs w:val="32"/>
        </w:rPr>
        <w:t>四、其他收入：</w:t>
      </w:r>
      <w:r>
        <w:rPr>
          <w:rFonts w:ascii="仿宋" w:hAnsi="仿宋" w:eastAsia="仿宋" w:cs="仿宋"/>
          <w:kern w:val="0"/>
          <w:sz w:val="32"/>
          <w:szCs w:val="32"/>
        </w:rPr>
        <w:t>指除上述“财政拨款收入”“事业收入”</w:t>
      </w:r>
      <w:r>
        <w:rPr>
          <w:rFonts w:ascii="宋体" w:hAnsi="宋体" w:cs="宋体"/>
          <w:kern w:val="0"/>
          <w:szCs w:val="21"/>
        </w:rPr>
        <w:t> </w:t>
      </w:r>
      <w:r>
        <w:rPr>
          <w:rFonts w:ascii="仿宋" w:hAnsi="仿宋" w:eastAsia="仿宋" w:cs="仿宋"/>
          <w:kern w:val="0"/>
          <w:sz w:val="32"/>
          <w:szCs w:val="32"/>
        </w:rPr>
        <w:t>“上级补助收入”“附属单位上缴收入”“经营收入”等以外取得的各项收入。主要是事业单位固定资产出租收入等。</w:t>
      </w:r>
    </w:p>
    <w:p w14:paraId="7A566250">
      <w:pPr>
        <w:pStyle w:val="28"/>
        <w:widowControl/>
        <w:spacing w:before="240" w:after="240" w:line="600" w:lineRule="atLeast"/>
        <w:ind w:firstLine="710"/>
        <w:jc w:val="left"/>
        <w:rPr>
          <w:rFonts w:ascii="Times New Roman" w:hAnsi="Times New Roman" w:eastAsia="Times New Roman" w:cs="Times New Roman"/>
          <w:kern w:val="0"/>
          <w:sz w:val="24"/>
        </w:rPr>
      </w:pPr>
      <w:r>
        <w:rPr>
          <w:rFonts w:ascii="仿宋" w:hAnsi="仿宋" w:eastAsia="仿宋" w:cs="仿宋"/>
          <w:b/>
          <w:bCs/>
          <w:kern w:val="0"/>
          <w:sz w:val="32"/>
          <w:szCs w:val="32"/>
        </w:rPr>
        <w:t>五、使用非财政拨款结余：</w:t>
      </w:r>
      <w:r>
        <w:rPr>
          <w:rFonts w:ascii="仿宋" w:hAnsi="仿宋" w:eastAsia="仿宋" w:cs="仿宋"/>
          <w:kern w:val="0"/>
          <w:sz w:val="32"/>
          <w:szCs w:val="32"/>
        </w:rPr>
        <w:t>指事业单位使用以前年度积累的非财政拨款结余弥补当年收支差额的金额。</w:t>
      </w:r>
    </w:p>
    <w:p w14:paraId="7674D1A3">
      <w:pPr>
        <w:pStyle w:val="28"/>
        <w:widowControl/>
        <w:spacing w:before="240" w:after="240" w:line="600" w:lineRule="atLeast"/>
        <w:ind w:firstLine="710"/>
        <w:jc w:val="left"/>
        <w:rPr>
          <w:rFonts w:ascii="Times New Roman" w:hAnsi="Times New Roman" w:eastAsia="Times New Roman" w:cs="Times New Roman"/>
          <w:kern w:val="0"/>
          <w:sz w:val="24"/>
        </w:rPr>
      </w:pPr>
      <w:r>
        <w:rPr>
          <w:rFonts w:ascii="仿宋" w:hAnsi="仿宋" w:eastAsia="仿宋" w:cs="仿宋"/>
          <w:b/>
          <w:bCs/>
          <w:kern w:val="0"/>
          <w:sz w:val="32"/>
          <w:szCs w:val="32"/>
        </w:rPr>
        <w:t>六、年初结转和结余：</w:t>
      </w:r>
      <w:r>
        <w:rPr>
          <w:rFonts w:ascii="仿宋" w:hAnsi="仿宋" w:eastAsia="仿宋" w:cs="仿宋"/>
          <w:kern w:val="0"/>
          <w:sz w:val="32"/>
          <w:szCs w:val="32"/>
        </w:rPr>
        <w:t>指单位以前年度尚未完成、结转到本年仍按原规定用途继续使用的资金，或项目已完成等产生的结余资金。</w:t>
      </w:r>
    </w:p>
    <w:p w14:paraId="562C68AE">
      <w:pPr>
        <w:pStyle w:val="32"/>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b/>
          <w:bCs/>
          <w:kern w:val="0"/>
          <w:sz w:val="32"/>
          <w:szCs w:val="32"/>
        </w:rPr>
        <w:t>七、结余分配：</w:t>
      </w:r>
      <w:r>
        <w:rPr>
          <w:rFonts w:ascii="仿宋" w:hAnsi="仿宋" w:eastAsia="仿宋" w:cs="仿宋"/>
          <w:kern w:val="0"/>
          <w:sz w:val="32"/>
          <w:szCs w:val="32"/>
        </w:rPr>
        <w:t>指事业单位按照会计制度规定缴纳的所得税、提取的专用结余以及转入非财政拨款结余的金额等。</w:t>
      </w:r>
    </w:p>
    <w:p w14:paraId="5B167562">
      <w:pPr>
        <w:pStyle w:val="32"/>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b/>
          <w:bCs/>
          <w:kern w:val="0"/>
          <w:sz w:val="32"/>
          <w:szCs w:val="32"/>
        </w:rPr>
        <w:t>八、年末结转和结余：</w:t>
      </w:r>
      <w:r>
        <w:rPr>
          <w:rFonts w:ascii="仿宋" w:hAnsi="仿宋" w:eastAsia="仿宋" w:cs="仿宋"/>
          <w:kern w:val="0"/>
          <w:sz w:val="32"/>
          <w:szCs w:val="32"/>
        </w:rPr>
        <w:t>指单位按有关规定结转到下年或以后年度继续使用的资金，或项目已完成等产生的结余资金。</w:t>
      </w:r>
    </w:p>
    <w:p w14:paraId="472D4053">
      <w:pPr>
        <w:pStyle w:val="32"/>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b/>
          <w:bCs/>
          <w:kern w:val="0"/>
          <w:sz w:val="32"/>
          <w:szCs w:val="32"/>
        </w:rPr>
        <w:t>九、基本支出：</w:t>
      </w:r>
      <w:r>
        <w:rPr>
          <w:rFonts w:ascii="仿宋" w:hAnsi="仿宋" w:eastAsia="仿宋" w:cs="仿宋"/>
          <w:kern w:val="0"/>
          <w:sz w:val="32"/>
          <w:szCs w:val="32"/>
        </w:rPr>
        <w:t>指为保障机构正常运转、完成日常工作任务而发生的人员支出和公用支出。</w:t>
      </w:r>
    </w:p>
    <w:p w14:paraId="20C81F34">
      <w:pPr>
        <w:pStyle w:val="32"/>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b/>
          <w:bCs/>
          <w:kern w:val="0"/>
          <w:sz w:val="32"/>
          <w:szCs w:val="32"/>
        </w:rPr>
        <w:t>十、项目支出：</w:t>
      </w:r>
      <w:r>
        <w:rPr>
          <w:rFonts w:ascii="仿宋" w:hAnsi="仿宋" w:eastAsia="仿宋" w:cs="仿宋"/>
          <w:kern w:val="0"/>
          <w:sz w:val="32"/>
          <w:szCs w:val="32"/>
        </w:rPr>
        <w:t>指在基本支出之外为完成特定行政任务和事业发展目标所发生的支出。</w:t>
      </w:r>
    </w:p>
    <w:p w14:paraId="3FD430BD">
      <w:pPr>
        <w:pStyle w:val="32"/>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b/>
          <w:bCs/>
          <w:kern w:val="0"/>
          <w:sz w:val="32"/>
          <w:szCs w:val="32"/>
        </w:rPr>
        <w:t>十一、经营支出：</w:t>
      </w:r>
      <w:r>
        <w:rPr>
          <w:rFonts w:ascii="仿宋" w:hAnsi="仿宋" w:eastAsia="仿宋" w:cs="仿宋"/>
          <w:kern w:val="0"/>
          <w:sz w:val="32"/>
          <w:szCs w:val="32"/>
        </w:rPr>
        <w:t>指事业单位在专业业务活动及其辅助活动之外开展非独立核算经营活动发生的支出。</w:t>
      </w:r>
    </w:p>
    <w:p w14:paraId="7AAC4C0E">
      <w:pPr>
        <w:pStyle w:val="32"/>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b/>
          <w:bCs/>
          <w:kern w:val="0"/>
          <w:sz w:val="32"/>
          <w:szCs w:val="32"/>
        </w:rPr>
        <w:t>十二、“三公”经费：</w:t>
      </w:r>
      <w:r>
        <w:rPr>
          <w:rFonts w:ascii="仿宋" w:hAnsi="仿宋" w:eastAsia="仿宋" w:cs="仿宋"/>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14:paraId="6EDE991E">
      <w:pPr>
        <w:pStyle w:val="28"/>
        <w:widowControl/>
        <w:spacing w:before="240" w:after="240"/>
        <w:ind w:firstLine="643"/>
        <w:jc w:val="left"/>
        <w:rPr>
          <w:rFonts w:ascii="Times New Roman" w:hAnsi="Times New Roman" w:eastAsia="Times New Roman" w:cs="Times New Roman"/>
          <w:kern w:val="0"/>
          <w:sz w:val="24"/>
        </w:rPr>
      </w:pPr>
      <w:r>
        <w:rPr>
          <w:rFonts w:ascii="仿宋" w:hAnsi="仿宋" w:eastAsia="仿宋" w:cs="仿宋"/>
          <w:b/>
          <w:bCs/>
          <w:kern w:val="0"/>
          <w:sz w:val="32"/>
          <w:szCs w:val="32"/>
        </w:rPr>
        <w:t>十三、机关运行经费：</w:t>
      </w:r>
      <w:r>
        <w:rPr>
          <w:rFonts w:ascii="仿宋" w:hAnsi="仿宋" w:eastAsia="仿宋" w:cs="仿宋"/>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6C307F">
      <w:pPr>
        <w:pStyle w:val="28"/>
        <w:widowControl/>
        <w:spacing w:before="240" w:after="240"/>
        <w:jc w:val="left"/>
        <w:rPr>
          <w:rFonts w:ascii="黑体" w:hAnsi="黑体" w:eastAsia="黑体" w:cs="黑体"/>
          <w:kern w:val="0"/>
          <w:sz w:val="56"/>
          <w:szCs w:val="56"/>
        </w:rPr>
      </w:pPr>
    </w:p>
    <w:p w14:paraId="7537197D">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黑体" w:hAnsi="黑体" w:eastAsia="黑体" w:cs="黑体"/>
          <w:kern w:val="0"/>
          <w:sz w:val="56"/>
          <w:szCs w:val="56"/>
        </w:rPr>
      </w:pPr>
    </w:p>
    <w:p w14:paraId="504C0B49">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黑体" w:hAnsi="黑体" w:eastAsia="黑体" w:cs="黑体"/>
          <w:kern w:val="0"/>
          <w:sz w:val="56"/>
          <w:szCs w:val="56"/>
        </w:rPr>
      </w:pPr>
    </w:p>
    <w:p w14:paraId="4CFDAC4C">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黑体" w:hAnsi="黑体" w:eastAsia="黑体" w:cs="黑体"/>
          <w:kern w:val="0"/>
          <w:sz w:val="56"/>
          <w:szCs w:val="56"/>
        </w:rPr>
      </w:pPr>
    </w:p>
    <w:p w14:paraId="08766241">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黑体" w:hAnsi="黑体" w:eastAsia="黑体" w:cs="黑体"/>
          <w:kern w:val="0"/>
          <w:sz w:val="56"/>
          <w:szCs w:val="56"/>
        </w:rPr>
      </w:pPr>
    </w:p>
    <w:p w14:paraId="3B9B6033">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黑体" w:hAnsi="黑体" w:eastAsia="黑体" w:cs="黑体"/>
          <w:kern w:val="0"/>
          <w:sz w:val="56"/>
          <w:szCs w:val="56"/>
        </w:rPr>
      </w:pPr>
    </w:p>
    <w:p w14:paraId="3B3D3B68">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Times New Roman" w:hAnsi="Times New Roman" w:eastAsia="Times New Roman" w:cs="Times New Roman"/>
          <w:kern w:val="0"/>
          <w:sz w:val="24"/>
        </w:rPr>
      </w:pPr>
      <w:r>
        <w:rPr>
          <w:rFonts w:ascii="黑体" w:hAnsi="黑体" w:eastAsia="黑体" w:cs="黑体"/>
          <w:kern w:val="0"/>
          <w:sz w:val="56"/>
          <w:szCs w:val="56"/>
        </w:rPr>
        <w:t>第五部分</w:t>
      </w:r>
    </w:p>
    <w:p w14:paraId="483D37B5">
      <w:pPr>
        <w:pStyle w:val="28"/>
        <w:keepNext w:val="0"/>
        <w:keepLines w:val="0"/>
        <w:pageBreakBefore w:val="0"/>
        <w:widowControl/>
        <w:kinsoku/>
        <w:wordWrap/>
        <w:overflowPunct/>
        <w:topLinePunct w:val="0"/>
        <w:autoSpaceDE/>
        <w:autoSpaceDN/>
        <w:bidi w:val="0"/>
        <w:adjustRightInd/>
        <w:snapToGrid/>
        <w:spacing w:before="240" w:after="240"/>
        <w:jc w:val="center"/>
        <w:textAlignment w:val="center"/>
        <w:rPr>
          <w:rFonts w:ascii="Times New Roman" w:hAnsi="Times New Roman" w:eastAsia="Times New Roman" w:cs="Times New Roman"/>
          <w:kern w:val="0"/>
          <w:sz w:val="24"/>
        </w:rPr>
      </w:pPr>
      <w:r>
        <w:rPr>
          <w:rFonts w:ascii="黑体" w:hAnsi="黑体" w:eastAsia="黑体" w:cs="黑体"/>
          <w:kern w:val="0"/>
          <w:sz w:val="56"/>
          <w:szCs w:val="56"/>
        </w:rPr>
        <w:t>附件</w:t>
      </w:r>
    </w:p>
    <w:p w14:paraId="502E8A6C">
      <w:pPr>
        <w:pStyle w:val="28"/>
        <w:widowControl/>
        <w:spacing w:before="240" w:after="240" w:line="600" w:lineRule="atLeast"/>
        <w:jc w:val="left"/>
        <w:rPr>
          <w:rFonts w:ascii="Times New Roman" w:hAnsi="Times New Roman" w:eastAsia="Times New Roman" w:cs="Times New Roman"/>
          <w:kern w:val="0"/>
          <w:sz w:val="24"/>
        </w:rPr>
      </w:pPr>
      <w:r>
        <w:rPr>
          <w:rFonts w:ascii="黑体" w:hAnsi="黑体" w:eastAsia="黑体" w:cs="黑体"/>
          <w:kern w:val="0"/>
          <w:sz w:val="32"/>
          <w:szCs w:val="32"/>
        </w:rPr>
        <w:t>一、《</w:t>
      </w:r>
      <w:r>
        <w:rPr>
          <w:rFonts w:hint="eastAsia" w:ascii="黑体" w:hAnsi="黑体" w:eastAsia="黑体" w:cs="黑体"/>
          <w:kern w:val="0"/>
          <w:sz w:val="32"/>
          <w:szCs w:val="32"/>
          <w:lang w:val="en-US" w:eastAsia="zh-CN"/>
        </w:rPr>
        <w:t>项目支出</w:t>
      </w:r>
      <w:r>
        <w:rPr>
          <w:rFonts w:hint="eastAsia" w:ascii="黑体" w:hAnsi="黑体" w:eastAsia="黑体" w:cs="黑体"/>
          <w:kern w:val="0"/>
          <w:sz w:val="32"/>
          <w:szCs w:val="32"/>
        </w:rPr>
        <w:t>绩效自评表</w:t>
      </w:r>
      <w:r>
        <w:rPr>
          <w:rFonts w:ascii="黑体" w:hAnsi="黑体" w:eastAsia="黑体" w:cs="黑体"/>
          <w:kern w:val="0"/>
          <w:sz w:val="32"/>
          <w:szCs w:val="32"/>
        </w:rPr>
        <w:t>》</w:t>
      </w:r>
      <w:r>
        <w:drawing>
          <wp:inline distT="0" distB="0" distL="114300" distR="114300">
            <wp:extent cx="6184265" cy="7517765"/>
            <wp:effectExtent l="0" t="0" r="317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6184265" cy="7517765"/>
                    </a:xfrm>
                    <a:prstGeom prst="rect">
                      <a:avLst/>
                    </a:prstGeom>
                    <a:noFill/>
                    <a:ln>
                      <a:noFill/>
                    </a:ln>
                  </pic:spPr>
                </pic:pic>
              </a:graphicData>
            </a:graphic>
          </wp:inline>
        </w:drawing>
      </w:r>
    </w:p>
    <w:p w14:paraId="5B365E0A">
      <w:pPr>
        <w:pStyle w:val="28"/>
        <w:widowControl/>
        <w:spacing w:before="240" w:after="240" w:line="600" w:lineRule="atLeast"/>
        <w:ind w:firstLine="640"/>
        <w:jc w:val="left"/>
        <w:rPr>
          <w:rFonts w:ascii="Times New Roman" w:hAnsi="Times New Roman" w:eastAsia="Times New Roman" w:cs="Times New Roman"/>
          <w:kern w:val="0"/>
          <w:sz w:val="24"/>
        </w:rPr>
      </w:pPr>
      <w:r>
        <w:rPr>
          <w:rFonts w:ascii="仿宋" w:hAnsi="仿宋" w:eastAsia="仿宋" w:cs="仿宋"/>
          <w:kern w:val="0"/>
          <w:sz w:val="32"/>
          <w:szCs w:val="32"/>
        </w:rPr>
        <w:t> </w:t>
      </w:r>
    </w:p>
    <w:bookmarkEnd w:id="0"/>
    <w:p w14:paraId="29AE87EC">
      <w:pPr>
        <w:adjustRightInd w:val="0"/>
        <w:snapToGrid w:val="0"/>
        <w:rPr>
          <w:rFonts w:hint="eastAsia" w:ascii="宋体" w:hAnsi="宋体"/>
          <w:b/>
          <w:sz w:val="32"/>
          <w:szCs w:val="32"/>
        </w:rPr>
      </w:pPr>
    </w:p>
    <w:p w14:paraId="064DC7E7">
      <w:pPr>
        <w:tabs>
          <w:tab w:val="left" w:pos="8415"/>
        </w:tabs>
      </w:pPr>
      <w:r>
        <w:drawing>
          <wp:inline distT="0" distB="0" distL="114300" distR="114300">
            <wp:extent cx="6178550" cy="642556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178550" cy="6425565"/>
                    </a:xfrm>
                    <a:prstGeom prst="rect">
                      <a:avLst/>
                    </a:prstGeom>
                    <a:noFill/>
                    <a:ln>
                      <a:noFill/>
                    </a:ln>
                  </pic:spPr>
                </pic:pic>
              </a:graphicData>
            </a:graphic>
          </wp:inline>
        </w:drawing>
      </w:r>
    </w:p>
    <w:p w14:paraId="2B96C819">
      <w:pPr>
        <w:tabs>
          <w:tab w:val="left" w:pos="8415"/>
        </w:tabs>
      </w:pPr>
    </w:p>
    <w:p w14:paraId="01ABE958">
      <w:pPr>
        <w:tabs>
          <w:tab w:val="left" w:pos="8415"/>
        </w:tabs>
      </w:pPr>
    </w:p>
    <w:p w14:paraId="52434FD5">
      <w:pPr>
        <w:tabs>
          <w:tab w:val="left" w:pos="8415"/>
        </w:tabs>
      </w:pPr>
    </w:p>
    <w:p w14:paraId="523B220C">
      <w:pPr>
        <w:tabs>
          <w:tab w:val="left" w:pos="8415"/>
        </w:tabs>
      </w:pPr>
    </w:p>
    <w:p w14:paraId="38EAFE2E">
      <w:pPr>
        <w:tabs>
          <w:tab w:val="left" w:pos="8415"/>
        </w:tabs>
      </w:pPr>
    </w:p>
    <w:p w14:paraId="278A0256">
      <w:pPr>
        <w:tabs>
          <w:tab w:val="left" w:pos="8415"/>
        </w:tabs>
      </w:pPr>
    </w:p>
    <w:p w14:paraId="5E78D3C2">
      <w:pPr>
        <w:tabs>
          <w:tab w:val="left" w:pos="8415"/>
        </w:tabs>
      </w:pPr>
    </w:p>
    <w:p w14:paraId="136B15EE">
      <w:pPr>
        <w:tabs>
          <w:tab w:val="left" w:pos="8415"/>
        </w:tabs>
      </w:pPr>
    </w:p>
    <w:p w14:paraId="684A49E0">
      <w:pPr>
        <w:tabs>
          <w:tab w:val="left" w:pos="8415"/>
        </w:tabs>
      </w:pPr>
    </w:p>
    <w:p w14:paraId="23C7C723">
      <w:pPr>
        <w:numPr>
          <w:ilvl w:val="0"/>
          <w:numId w:val="0"/>
        </w:numPr>
        <w:adjustRightInd w:val="0"/>
        <w:snapToGrid w:val="0"/>
        <w:rPr>
          <w:rFonts w:hint="eastAsia" w:ascii="黑体" w:hAnsi="黑体" w:eastAsia="黑体" w:cs="黑体"/>
          <w:kern w:val="0"/>
          <w:sz w:val="32"/>
          <w:szCs w:val="32"/>
        </w:rPr>
      </w:pPr>
    </w:p>
    <w:p w14:paraId="3D306915">
      <w:pPr>
        <w:numPr>
          <w:ilvl w:val="0"/>
          <w:numId w:val="0"/>
        </w:numPr>
        <w:adjustRightInd w:val="0"/>
        <w:snapToGrid w:val="0"/>
        <w:rPr>
          <w:rFonts w:hint="eastAsia" w:ascii="黑体" w:hAnsi="黑体" w:eastAsia="黑体" w:cs="黑体"/>
          <w:kern w:val="0"/>
          <w:sz w:val="32"/>
          <w:szCs w:val="32"/>
        </w:rPr>
      </w:pPr>
    </w:p>
    <w:p w14:paraId="42FEDB43">
      <w:pPr>
        <w:tabs>
          <w:tab w:val="left" w:pos="8415"/>
        </w:tabs>
      </w:pPr>
      <w:r>
        <w:drawing>
          <wp:inline distT="0" distB="0" distL="114300" distR="114300">
            <wp:extent cx="6181725" cy="762825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181725" cy="7628255"/>
                    </a:xfrm>
                    <a:prstGeom prst="rect">
                      <a:avLst/>
                    </a:prstGeom>
                    <a:noFill/>
                    <a:ln>
                      <a:noFill/>
                    </a:ln>
                  </pic:spPr>
                </pic:pic>
              </a:graphicData>
            </a:graphic>
          </wp:inline>
        </w:drawing>
      </w:r>
    </w:p>
    <w:p w14:paraId="5C8D300D">
      <w:pPr>
        <w:tabs>
          <w:tab w:val="left" w:pos="8415"/>
        </w:tabs>
      </w:pPr>
    </w:p>
    <w:p w14:paraId="14FE033D">
      <w:pPr>
        <w:tabs>
          <w:tab w:val="left" w:pos="8415"/>
        </w:tabs>
      </w:pPr>
    </w:p>
    <w:p w14:paraId="41D4D398">
      <w:pPr>
        <w:tabs>
          <w:tab w:val="left" w:pos="8415"/>
        </w:tabs>
      </w:pPr>
    </w:p>
    <w:p w14:paraId="454593C1">
      <w:pPr>
        <w:numPr>
          <w:ilvl w:val="0"/>
          <w:numId w:val="0"/>
        </w:numPr>
        <w:adjustRightInd w:val="0"/>
        <w:snapToGrid w:val="0"/>
        <w:rPr>
          <w:rFonts w:ascii="黑体" w:hAnsi="黑体" w:eastAsia="黑体" w:cs="黑体"/>
          <w:kern w:val="0"/>
          <w:sz w:val="32"/>
          <w:szCs w:val="32"/>
        </w:rPr>
      </w:pPr>
    </w:p>
    <w:p w14:paraId="35C1BFFB">
      <w:pPr>
        <w:numPr>
          <w:ilvl w:val="0"/>
          <w:numId w:val="0"/>
        </w:numPr>
        <w:adjustRightInd w:val="0"/>
        <w:snapToGrid w:val="0"/>
        <w:rPr>
          <w:rFonts w:ascii="黑体" w:hAnsi="黑体" w:eastAsia="黑体" w:cs="黑体"/>
          <w:kern w:val="0"/>
          <w:sz w:val="32"/>
          <w:szCs w:val="32"/>
        </w:rPr>
      </w:pPr>
      <w:r>
        <w:rPr>
          <w:rFonts w:hint="eastAsia" w:ascii="黑体" w:hAnsi="黑体" w:eastAsia="黑体" w:cs="黑体"/>
          <w:kern w:val="0"/>
          <w:sz w:val="32"/>
          <w:szCs w:val="32"/>
          <w:lang w:val="en-US" w:eastAsia="zh-CN"/>
        </w:rPr>
        <w:t>二、</w:t>
      </w:r>
      <w:r>
        <w:rPr>
          <w:rFonts w:ascii="黑体" w:hAnsi="黑体" w:eastAsia="黑体" w:cs="黑体"/>
          <w:kern w:val="0"/>
          <w:sz w:val="32"/>
          <w:szCs w:val="32"/>
        </w:rPr>
        <w:t>《</w:t>
      </w:r>
      <w:r>
        <w:rPr>
          <w:rFonts w:hint="eastAsia" w:ascii="黑体" w:hAnsi="黑体" w:eastAsia="黑体" w:cs="黑体"/>
          <w:kern w:val="0"/>
          <w:sz w:val="32"/>
          <w:szCs w:val="32"/>
          <w:lang w:val="en-US" w:eastAsia="zh-CN"/>
        </w:rPr>
        <w:t>部门整体支出绩效自评表</w:t>
      </w:r>
      <w:r>
        <w:rPr>
          <w:rFonts w:ascii="黑体" w:hAnsi="黑体" w:eastAsia="黑体" w:cs="黑体"/>
          <w:kern w:val="0"/>
          <w:sz w:val="32"/>
          <w:szCs w:val="32"/>
        </w:rPr>
        <w:t>》</w:t>
      </w:r>
    </w:p>
    <w:p w14:paraId="5CEB11F8">
      <w:pPr>
        <w:numPr>
          <w:ilvl w:val="0"/>
          <w:numId w:val="0"/>
        </w:numPr>
        <w:adjustRightInd w:val="0"/>
        <w:snapToGrid w:val="0"/>
        <w:rPr>
          <w:rFonts w:hint="eastAsia" w:eastAsia="宋体"/>
          <w:lang w:val="en-US" w:eastAsia="zh-CN"/>
        </w:rPr>
      </w:pPr>
      <w: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178550" cy="8239125"/>
            <wp:effectExtent l="0" t="0" r="8890"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6178550" cy="8239125"/>
                    </a:xfrm>
                    <a:prstGeom prst="rect">
                      <a:avLst/>
                    </a:prstGeom>
                    <a:noFill/>
                    <a:ln>
                      <a:noFill/>
                    </a:ln>
                  </pic:spPr>
                </pic:pic>
              </a:graphicData>
            </a:graphic>
          </wp:anchor>
        </w:drawing>
      </w:r>
    </w:p>
    <w:sectPr>
      <w:footerReference r:id="rId5" w:type="default"/>
      <w:pgSz w:w="11906" w:h="16838"/>
      <w:pgMar w:top="1440" w:right="1083" w:bottom="1440" w:left="1083" w:header="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548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BDED">
    <w:pPr>
      <w:pStyle w:val="11"/>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1C7D6D7">
                <w:pPr>
                  <w:pStyle w:val="11"/>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1A7F">
    <w:pPr>
      <w:jc w:val="cente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60BA8E">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35</w:t>
                </w:r>
                <w:r>
                  <w:rPr>
                    <w:rFonts w:ascii="宋体" w:hAnsi="宋体" w:eastAsia="宋体" w:cs="宋体"/>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hNWQwYzA0NGI0NGQzOGVmYmVkOTRhYTVhNDMzMTE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3666"/>
    <w:rsid w:val="003068A6"/>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56D6"/>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7F2F15"/>
    <w:rsid w:val="00836830"/>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10863"/>
    <w:rsid w:val="00B27D51"/>
    <w:rsid w:val="00B326F7"/>
    <w:rsid w:val="00B32BEE"/>
    <w:rsid w:val="00B373AF"/>
    <w:rsid w:val="00B4208A"/>
    <w:rsid w:val="00B57D7A"/>
    <w:rsid w:val="00B76620"/>
    <w:rsid w:val="00B840CE"/>
    <w:rsid w:val="00B96C3D"/>
    <w:rsid w:val="00BD0928"/>
    <w:rsid w:val="00BD380A"/>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B7316"/>
    <w:rsid w:val="00EE533B"/>
    <w:rsid w:val="00F04882"/>
    <w:rsid w:val="00F63327"/>
    <w:rsid w:val="00F80A29"/>
    <w:rsid w:val="00FA7CA5"/>
    <w:rsid w:val="00FD08EC"/>
    <w:rsid w:val="00FD7690"/>
    <w:rsid w:val="015C62C0"/>
    <w:rsid w:val="016A04A0"/>
    <w:rsid w:val="02C24E61"/>
    <w:rsid w:val="06BB5D14"/>
    <w:rsid w:val="0907203A"/>
    <w:rsid w:val="0AC27E84"/>
    <w:rsid w:val="0D495F97"/>
    <w:rsid w:val="0D9B0DE1"/>
    <w:rsid w:val="0F167E65"/>
    <w:rsid w:val="0F680F79"/>
    <w:rsid w:val="111644C3"/>
    <w:rsid w:val="12F61FB0"/>
    <w:rsid w:val="164865AF"/>
    <w:rsid w:val="176C18A3"/>
    <w:rsid w:val="186A68BD"/>
    <w:rsid w:val="19CB05B8"/>
    <w:rsid w:val="1A8E52C9"/>
    <w:rsid w:val="1BBB0703"/>
    <w:rsid w:val="1D412E8A"/>
    <w:rsid w:val="1E5B74EC"/>
    <w:rsid w:val="1F8E4377"/>
    <w:rsid w:val="24C6763A"/>
    <w:rsid w:val="27BA39AE"/>
    <w:rsid w:val="28C8099A"/>
    <w:rsid w:val="2B3B53BD"/>
    <w:rsid w:val="306A1F6D"/>
    <w:rsid w:val="30C652AE"/>
    <w:rsid w:val="31E933D0"/>
    <w:rsid w:val="34926884"/>
    <w:rsid w:val="35CA0C3D"/>
    <w:rsid w:val="363968FA"/>
    <w:rsid w:val="36F11025"/>
    <w:rsid w:val="3746134F"/>
    <w:rsid w:val="375E5A91"/>
    <w:rsid w:val="37700C46"/>
    <w:rsid w:val="37F307E8"/>
    <w:rsid w:val="390B0AF9"/>
    <w:rsid w:val="396401D4"/>
    <w:rsid w:val="3A8769E1"/>
    <w:rsid w:val="3A982A71"/>
    <w:rsid w:val="3D16247B"/>
    <w:rsid w:val="3EC617C1"/>
    <w:rsid w:val="3FAE21A9"/>
    <w:rsid w:val="3FE006B3"/>
    <w:rsid w:val="44A54FF6"/>
    <w:rsid w:val="44C73572"/>
    <w:rsid w:val="482C2FDF"/>
    <w:rsid w:val="4CB03B1E"/>
    <w:rsid w:val="4E0163CE"/>
    <w:rsid w:val="4F3714B2"/>
    <w:rsid w:val="54797324"/>
    <w:rsid w:val="5591346D"/>
    <w:rsid w:val="5A0D2F55"/>
    <w:rsid w:val="5A12303E"/>
    <w:rsid w:val="5A3E7749"/>
    <w:rsid w:val="5DA33F58"/>
    <w:rsid w:val="5EA965E5"/>
    <w:rsid w:val="61167757"/>
    <w:rsid w:val="611C03C5"/>
    <w:rsid w:val="61DB4F8F"/>
    <w:rsid w:val="626A7D5A"/>
    <w:rsid w:val="6363209A"/>
    <w:rsid w:val="650239F0"/>
    <w:rsid w:val="68D00DFA"/>
    <w:rsid w:val="6A763BAE"/>
    <w:rsid w:val="6C515411"/>
    <w:rsid w:val="6E780BC1"/>
    <w:rsid w:val="70EE6516"/>
    <w:rsid w:val="71C17BB9"/>
    <w:rsid w:val="74A2500D"/>
    <w:rsid w:val="768D2C66"/>
    <w:rsid w:val="77F55D5B"/>
    <w:rsid w:val="786D2A95"/>
    <w:rsid w:val="79CD48CC"/>
    <w:rsid w:val="7A1770A9"/>
    <w:rsid w:val="7C0616B4"/>
    <w:rsid w:val="7C934556"/>
    <w:rsid w:val="7E4913B3"/>
    <w:rsid w:val="7ED1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 w:type="paragraph" w:customStyle="1" w:styleId="28">
    <w:name w:val="MsoNormal"/>
    <w:basedOn w:val="1"/>
    <w:qFormat/>
    <w:uiPriority w:val="0"/>
  </w:style>
  <w:style w:type="paragraph" w:customStyle="1" w:styleId="29">
    <w:name w:val="MsoBodyText"/>
    <w:basedOn w:val="1"/>
    <w:qFormat/>
    <w:uiPriority w:val="0"/>
  </w:style>
  <w:style w:type="table" w:customStyle="1" w:styleId="30">
    <w:name w:val="MsoNormalTable"/>
    <w:basedOn w:val="18"/>
    <w:qFormat/>
    <w:uiPriority w:val="0"/>
  </w:style>
  <w:style w:type="paragraph" w:customStyle="1" w:styleId="31">
    <w:name w:val="18"/>
    <w:basedOn w:val="1"/>
    <w:qFormat/>
    <w:uiPriority w:val="0"/>
  </w:style>
  <w:style w:type="paragraph" w:customStyle="1" w:styleId="32">
    <w:name w:val="17"/>
    <w:basedOn w:val="1"/>
    <w:qFormat/>
    <w:uiPriority w:val="0"/>
  </w:style>
  <w:style w:type="table" w:customStyle="1" w:styleId="33">
    <w:name w:val="MsoNormalTable mce-item-table"/>
    <w:basedOn w:val="18"/>
    <w:qFormat/>
    <w:uiPriority w:val="0"/>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0"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6617</Words>
  <Characters>8100</Characters>
  <Lines>1</Lines>
  <Paragraphs>1</Paragraphs>
  <TotalTime>38</TotalTime>
  <ScaleCrop>false</ScaleCrop>
  <LinksUpToDate>false</LinksUpToDate>
  <CharactersWithSpaces>8168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2021-04-16T00:45:00Z</cp:lastPrinted>
  <dcterms:modified xsi:type="dcterms:W3CDTF">2024-09-06T01:20:15Z</dcterms:modified>
  <dc:title>××年度××部门/单位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27E06786D88047E0808C199450B2A6CD_12</vt:lpwstr>
  </property>
</Properties>
</file>